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95D" w:rsidRPr="003906D0" w:rsidRDefault="00520B94">
      <w:pPr>
        <w:jc w:val="center"/>
        <w:rPr>
          <w:rFonts w:cs="Arial"/>
          <w:lang w:val="sr-Latn-CS"/>
        </w:rPr>
      </w:pPr>
      <w:r w:rsidRPr="00520B94">
        <w:rPr>
          <w:rFonts w:cs="Arial"/>
          <w:sz w:val="16"/>
          <w:szCs w:val="16"/>
        </w:rPr>
        <w:pict>
          <v:rect id="_x0000_s2058" style="position:absolute;left:0;text-align:left;margin-left:-66pt;margin-top:-1in;width:588pt;height:1in;z-index:251657728;v-text-anchor:middle" stroked="f">
            <v:fill color2="black"/>
            <v:stroke joinstyle="round"/>
          </v:rect>
        </w:pict>
      </w:r>
    </w:p>
    <w:p w:rsidR="00375A12" w:rsidRPr="003906D0" w:rsidRDefault="00F43BA6">
      <w:pPr>
        <w:jc w:val="center"/>
        <w:rPr>
          <w:rFonts w:cs="Arial"/>
          <w:lang w:val="sr-Latn-CS"/>
        </w:rPr>
      </w:pPr>
      <w:r w:rsidRPr="003906D0">
        <w:rPr>
          <w:rFonts w:cs="Arial"/>
          <w:noProof/>
          <w:lang w:val="en-US"/>
        </w:rPr>
        <w:drawing>
          <wp:inline distT="0" distB="0" distL="0" distR="0">
            <wp:extent cx="5716905" cy="1041400"/>
            <wp:effectExtent l="19050" t="0" r="0" b="0"/>
            <wp:docPr id="1" name="Picture 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o grb copy"/>
                    <pic:cNvPicPr>
                      <a:picLocks noChangeAspect="1" noChangeArrowheads="1"/>
                    </pic:cNvPicPr>
                  </pic:nvPicPr>
                  <pic:blipFill>
                    <a:blip r:embed="rId7"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4C1D1B" w:rsidRPr="003906D0" w:rsidRDefault="004C1D1B">
      <w:pPr>
        <w:jc w:val="center"/>
        <w:rPr>
          <w:rFonts w:cs="Arial"/>
          <w:lang w:val="sr-Cyrl-CS"/>
        </w:rPr>
      </w:pPr>
    </w:p>
    <w:p w:rsidR="00BC4672" w:rsidRPr="003906D0" w:rsidRDefault="00BC4672">
      <w:pPr>
        <w:jc w:val="center"/>
        <w:rPr>
          <w:rFonts w:cs="Arial"/>
          <w:lang w:val="sr-Cyrl-CS"/>
        </w:rPr>
      </w:pPr>
    </w:p>
    <w:p w:rsidR="00375A12" w:rsidRPr="003906D0" w:rsidRDefault="002D3376">
      <w:pPr>
        <w:jc w:val="center"/>
        <w:rPr>
          <w:rFonts w:cs="Arial"/>
          <w:lang w:val="sr-Latn-CS"/>
        </w:rPr>
      </w:pPr>
      <w:r w:rsidRPr="003906D0">
        <w:rPr>
          <w:rFonts w:cs="Arial"/>
          <w:lang w:val="sr-Latn-CS"/>
        </w:rPr>
        <w:t>ПРЕДМЕТ</w:t>
      </w:r>
    </w:p>
    <w:p w:rsidR="00375A12" w:rsidRPr="003906D0" w:rsidRDefault="00F121A0">
      <w:pPr>
        <w:jc w:val="center"/>
        <w:rPr>
          <w:rFonts w:cs="Arial"/>
          <w:sz w:val="24"/>
          <w:szCs w:val="24"/>
          <w:lang w:val="sr-Latn-CS"/>
        </w:rPr>
      </w:pPr>
      <w:r w:rsidRPr="003906D0">
        <w:rPr>
          <w:rFonts w:cs="Arial"/>
          <w:sz w:val="24"/>
          <w:szCs w:val="24"/>
          <w:lang w:val="sr-Latn-CS"/>
        </w:rPr>
        <w:t>&lt;</w:t>
      </w:r>
      <w:r w:rsidR="00F76921" w:rsidRPr="003906D0">
        <w:rPr>
          <w:rFonts w:cs="Arial"/>
        </w:rPr>
        <w:t xml:space="preserve"> </w:t>
      </w:r>
      <w:r w:rsidR="005257EB" w:rsidRPr="003906D0">
        <w:rPr>
          <w:rFonts w:cs="Arial"/>
          <w:sz w:val="24"/>
          <w:szCs w:val="24"/>
          <w:lang w:val="sr-Cyrl-CS"/>
        </w:rPr>
        <w:t xml:space="preserve">КВАНТИТАТИВНЕ МЕТОДЕ ЗА ЗДРАВСТВЕНЕ ОРГАНИЗАЦИЈЕ </w:t>
      </w:r>
      <w:r w:rsidRPr="003906D0">
        <w:rPr>
          <w:rFonts w:cs="Arial"/>
          <w:sz w:val="24"/>
          <w:szCs w:val="24"/>
          <w:lang w:val="sr-Latn-CS"/>
        </w:rPr>
        <w:t>&gt;</w:t>
      </w:r>
    </w:p>
    <w:p w:rsidR="00A06B01" w:rsidRPr="003906D0" w:rsidRDefault="00A06B01">
      <w:pPr>
        <w:jc w:val="center"/>
        <w:rPr>
          <w:rFonts w:cs="Arial"/>
          <w:b/>
          <w:sz w:val="24"/>
          <w:szCs w:val="24"/>
          <w:lang w:val="sr-Latn-CS"/>
        </w:rPr>
      </w:pPr>
    </w:p>
    <w:p w:rsidR="00375A12" w:rsidRPr="003906D0" w:rsidRDefault="002D3376">
      <w:pPr>
        <w:jc w:val="center"/>
        <w:rPr>
          <w:rFonts w:cs="Arial"/>
          <w:sz w:val="24"/>
          <w:szCs w:val="24"/>
        </w:rPr>
      </w:pPr>
      <w:r w:rsidRPr="003906D0">
        <w:rPr>
          <w:rFonts w:cs="Arial"/>
          <w:sz w:val="24"/>
          <w:szCs w:val="24"/>
          <w:lang w:val="sr-Latn-CS"/>
        </w:rPr>
        <w:t>Предавање</w:t>
      </w:r>
      <w:r w:rsidR="00A06B01" w:rsidRPr="003906D0">
        <w:rPr>
          <w:rFonts w:cs="Arial"/>
          <w:sz w:val="24"/>
          <w:szCs w:val="24"/>
          <w:lang w:val="sr-Latn-CS"/>
        </w:rPr>
        <w:t xml:space="preserve"> </w:t>
      </w:r>
      <w:r w:rsidRPr="003906D0">
        <w:rPr>
          <w:rFonts w:cs="Arial"/>
          <w:sz w:val="24"/>
          <w:szCs w:val="24"/>
          <w:lang w:val="sr-Latn-CS"/>
        </w:rPr>
        <w:t>број</w:t>
      </w:r>
      <w:r w:rsidR="00A06B01" w:rsidRPr="003906D0">
        <w:rPr>
          <w:rFonts w:cs="Arial"/>
          <w:sz w:val="24"/>
          <w:szCs w:val="24"/>
          <w:lang w:val="sr-Latn-CS"/>
        </w:rPr>
        <w:t xml:space="preserve"> </w:t>
      </w:r>
      <w:r w:rsidR="00655285" w:rsidRPr="003906D0">
        <w:rPr>
          <w:rFonts w:cs="Arial"/>
          <w:sz w:val="24"/>
          <w:szCs w:val="24"/>
        </w:rPr>
        <w:t>12</w:t>
      </w:r>
    </w:p>
    <w:p w:rsidR="00375A12" w:rsidRPr="003906D0" w:rsidRDefault="00F121A0">
      <w:pPr>
        <w:jc w:val="center"/>
        <w:rPr>
          <w:rFonts w:cs="Arial"/>
          <w:b/>
          <w:sz w:val="28"/>
          <w:szCs w:val="28"/>
          <w:lang w:val="sr-Latn-CS"/>
        </w:rPr>
      </w:pPr>
      <w:r w:rsidRPr="003906D0">
        <w:rPr>
          <w:rFonts w:cs="Arial"/>
          <w:b/>
          <w:sz w:val="28"/>
          <w:szCs w:val="28"/>
          <w:lang w:val="sr-Latn-CS"/>
        </w:rPr>
        <w:t>&lt;</w:t>
      </w:r>
      <w:r w:rsidR="009A6F83" w:rsidRPr="003906D0">
        <w:rPr>
          <w:rFonts w:cs="Arial"/>
        </w:rPr>
        <w:t xml:space="preserve"> </w:t>
      </w:r>
      <w:bookmarkStart w:id="0" w:name="OLE_LINK1"/>
      <w:r w:rsidR="00973788" w:rsidRPr="00973788">
        <w:rPr>
          <w:rFonts w:cs="Arial"/>
          <w:b/>
          <w:sz w:val="28"/>
          <w:szCs w:val="28"/>
          <w:lang w:val="sr-Latn-CS"/>
        </w:rPr>
        <w:t>УПОЗНАВАЊЕ СА КВАНТИТАТИВНИМ МЕТОДИМА</w:t>
      </w:r>
      <w:r w:rsidR="005B6F3D" w:rsidRPr="003906D0">
        <w:rPr>
          <w:rFonts w:cs="Arial"/>
          <w:b/>
          <w:sz w:val="28"/>
          <w:szCs w:val="28"/>
          <w:lang w:val="sr-Latn-CS"/>
        </w:rPr>
        <w:t xml:space="preserve"> </w:t>
      </w:r>
      <w:bookmarkEnd w:id="0"/>
      <w:r w:rsidRPr="003906D0">
        <w:rPr>
          <w:rFonts w:cs="Arial"/>
          <w:b/>
          <w:sz w:val="28"/>
          <w:szCs w:val="28"/>
          <w:lang w:val="sr-Latn-CS"/>
        </w:rPr>
        <w:t>&gt;</w:t>
      </w:r>
    </w:p>
    <w:p w:rsidR="00375A12" w:rsidRPr="003906D0" w:rsidRDefault="00375A12">
      <w:pPr>
        <w:jc w:val="center"/>
        <w:rPr>
          <w:rFonts w:cs="Arial"/>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707"/>
        <w:gridCol w:w="3116"/>
        <w:gridCol w:w="2807"/>
      </w:tblGrid>
      <w:tr w:rsidR="00D32F7E" w:rsidRPr="003906D0">
        <w:trPr>
          <w:cantSplit/>
          <w:jc w:val="center"/>
        </w:trPr>
        <w:tc>
          <w:tcPr>
            <w:tcW w:w="993" w:type="dxa"/>
            <w:tcBorders>
              <w:bottom w:val="single" w:sz="4" w:space="0" w:color="auto"/>
            </w:tcBorders>
            <w:shd w:val="clear" w:color="auto" w:fill="737373"/>
          </w:tcPr>
          <w:p w:rsidR="00D32F7E" w:rsidRPr="003906D0" w:rsidRDefault="00D32F7E" w:rsidP="001F5F0A">
            <w:pPr>
              <w:jc w:val="center"/>
              <w:rPr>
                <w:rFonts w:cs="Arial"/>
                <w:color w:val="FFFFFF"/>
              </w:rPr>
            </w:pPr>
            <w:r w:rsidRPr="003906D0">
              <w:rPr>
                <w:rFonts w:cs="Arial"/>
                <w:color w:val="FFFFFF"/>
              </w:rPr>
              <w:t>Недеља</w:t>
            </w:r>
          </w:p>
        </w:tc>
        <w:tc>
          <w:tcPr>
            <w:tcW w:w="1576" w:type="dxa"/>
            <w:tcBorders>
              <w:bottom w:val="single" w:sz="4" w:space="0" w:color="auto"/>
            </w:tcBorders>
            <w:shd w:val="clear" w:color="auto" w:fill="737373"/>
          </w:tcPr>
          <w:p w:rsidR="00D32F7E" w:rsidRPr="003906D0" w:rsidRDefault="00D32F7E" w:rsidP="001F5F0A">
            <w:pPr>
              <w:jc w:val="center"/>
              <w:rPr>
                <w:rFonts w:cs="Arial"/>
                <w:color w:val="FFFFFF"/>
              </w:rPr>
            </w:pPr>
            <w:r w:rsidRPr="003906D0">
              <w:rPr>
                <w:rFonts w:cs="Arial"/>
                <w:color w:val="FFFFFF"/>
              </w:rPr>
              <w:t>Наставна јединица</w:t>
            </w:r>
          </w:p>
        </w:tc>
        <w:tc>
          <w:tcPr>
            <w:tcW w:w="3116" w:type="dxa"/>
            <w:tcBorders>
              <w:bottom w:val="single" w:sz="4" w:space="0" w:color="auto"/>
            </w:tcBorders>
            <w:shd w:val="clear" w:color="auto" w:fill="737373"/>
          </w:tcPr>
          <w:p w:rsidR="00D32F7E" w:rsidRPr="003906D0" w:rsidRDefault="00D32F7E" w:rsidP="001F5F0A">
            <w:pPr>
              <w:jc w:val="center"/>
              <w:rPr>
                <w:rFonts w:cs="Arial"/>
                <w:color w:val="FFFFFF"/>
              </w:rPr>
            </w:pPr>
            <w:r w:rsidRPr="003906D0">
              <w:rPr>
                <w:rFonts w:cs="Arial"/>
                <w:color w:val="FFFFFF"/>
              </w:rPr>
              <w:t>Тематске јединице</w:t>
            </w:r>
          </w:p>
        </w:tc>
        <w:tc>
          <w:tcPr>
            <w:tcW w:w="2807" w:type="dxa"/>
            <w:tcBorders>
              <w:bottom w:val="single" w:sz="4" w:space="0" w:color="auto"/>
            </w:tcBorders>
            <w:shd w:val="clear" w:color="auto" w:fill="737373"/>
          </w:tcPr>
          <w:p w:rsidR="00D32F7E" w:rsidRPr="003906D0" w:rsidRDefault="00D32F7E" w:rsidP="001F5F0A">
            <w:pPr>
              <w:jc w:val="center"/>
              <w:rPr>
                <w:rFonts w:cs="Arial"/>
                <w:color w:val="FFFFFF"/>
              </w:rPr>
            </w:pPr>
            <w:r w:rsidRPr="003906D0">
              <w:rPr>
                <w:rFonts w:cs="Arial"/>
                <w:color w:val="FFFFFF"/>
              </w:rPr>
              <w:t>Резултат – знања или вештине које студент треба да добије</w:t>
            </w:r>
          </w:p>
        </w:tc>
      </w:tr>
      <w:tr w:rsidR="00973788" w:rsidRPr="003906D0" w:rsidTr="00DE4F4C">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rsidR="00973788" w:rsidRPr="003906D0" w:rsidRDefault="00973788" w:rsidP="006D693E">
            <w:pPr>
              <w:jc w:val="center"/>
              <w:rPr>
                <w:rFonts w:cs="Arial"/>
                <w:color w:val="auto"/>
              </w:rPr>
            </w:pPr>
            <w:r w:rsidRPr="003906D0">
              <w:rPr>
                <w:rFonts w:cs="Arial"/>
                <w:color w:val="auto"/>
              </w:rPr>
              <w:t>12</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973788" w:rsidRPr="003906D0" w:rsidRDefault="00973788" w:rsidP="00740D7C">
            <w:pPr>
              <w:jc w:val="left"/>
              <w:rPr>
                <w:rFonts w:cs="Arial"/>
                <w:lang w:val="sr-Cyrl-CS"/>
              </w:rPr>
            </w:pPr>
            <w:r w:rsidRPr="00973788">
              <w:rPr>
                <w:rFonts w:cs="Arial"/>
                <w:lang w:val="sr-Cyrl-CS"/>
              </w:rPr>
              <w:t>Упознавање са квантитативним методима</w:t>
            </w:r>
          </w:p>
        </w:tc>
        <w:tc>
          <w:tcPr>
            <w:tcW w:w="3116" w:type="dxa"/>
            <w:tcBorders>
              <w:top w:val="single" w:sz="4" w:space="0" w:color="auto"/>
              <w:left w:val="single" w:sz="4" w:space="0" w:color="auto"/>
              <w:bottom w:val="single" w:sz="4" w:space="0" w:color="auto"/>
              <w:right w:val="single" w:sz="4" w:space="0" w:color="auto"/>
            </w:tcBorders>
            <w:shd w:val="clear" w:color="auto" w:fill="auto"/>
          </w:tcPr>
          <w:p w:rsidR="00973788" w:rsidRPr="003906D0" w:rsidRDefault="00973788" w:rsidP="00973788">
            <w:pPr>
              <w:jc w:val="left"/>
              <w:rPr>
                <w:rFonts w:cs="Arial"/>
                <w:lang w:val="sr-Cyrl-CS"/>
              </w:rPr>
            </w:pPr>
            <w:r w:rsidRPr="00973788">
              <w:t xml:space="preserve">Увод у методе доношења одлука у </w:t>
            </w:r>
            <w:r w:rsidR="00D617E5" w:rsidRPr="00E87833">
              <w:rPr>
                <w:lang w:val="sr-Latn-CS"/>
              </w:rPr>
              <w:t xml:space="preserve">управљању </w:t>
            </w:r>
            <w:r w:rsidRPr="00973788">
              <w:t>здравственим системом</w:t>
            </w:r>
            <w:r w:rsidR="00D617E5">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973788" w:rsidRPr="003906D0" w:rsidRDefault="00D617E5" w:rsidP="00D617E5">
            <w:pPr>
              <w:autoSpaceDE w:val="0"/>
              <w:autoSpaceDN w:val="0"/>
              <w:adjustRightInd w:val="0"/>
              <w:jc w:val="left"/>
              <w:rPr>
                <w:rFonts w:cs="Arial"/>
                <w:lang w:val="sr-Cyrl-CS"/>
              </w:rPr>
            </w:pPr>
            <w:r>
              <w:rPr>
                <w:lang w:val="sr-Latn-CS"/>
              </w:rPr>
              <w:t xml:space="preserve">Упознавање са </w:t>
            </w:r>
            <w:r w:rsidR="00973788" w:rsidRPr="00E87833">
              <w:rPr>
                <w:lang w:val="sr-Latn-CS"/>
              </w:rPr>
              <w:t>методима доношења одлука у управљању здравственом заштитом.</w:t>
            </w:r>
          </w:p>
        </w:tc>
      </w:tr>
    </w:tbl>
    <w:p w:rsidR="00BA7627" w:rsidRPr="003906D0" w:rsidRDefault="00BA7627">
      <w:pPr>
        <w:jc w:val="center"/>
        <w:rPr>
          <w:rFonts w:cs="Arial"/>
          <w:b/>
          <w:sz w:val="24"/>
          <w:szCs w:val="24"/>
          <w:lang w:val="sr-Latn-CS"/>
        </w:rPr>
      </w:pPr>
    </w:p>
    <w:p w:rsidR="00C673B8" w:rsidRPr="003906D0" w:rsidRDefault="00C673B8">
      <w:pPr>
        <w:jc w:val="center"/>
        <w:rPr>
          <w:rFonts w:cs="Arial"/>
          <w:b/>
          <w:sz w:val="24"/>
          <w:szCs w:val="24"/>
          <w:lang w:val="sr-Latn-CS"/>
        </w:rPr>
      </w:pPr>
    </w:p>
    <w:p w:rsidR="00C673B8" w:rsidRPr="003906D0" w:rsidRDefault="00C673B8">
      <w:pPr>
        <w:jc w:val="center"/>
        <w:rPr>
          <w:rFonts w:cs="Arial"/>
          <w:b/>
          <w:sz w:val="24"/>
          <w:szCs w:val="24"/>
          <w:lang w:val="sr-Latn-CS"/>
        </w:rPr>
      </w:pPr>
    </w:p>
    <w:p w:rsidR="00C673B8" w:rsidRPr="003906D0" w:rsidRDefault="00C673B8">
      <w:pPr>
        <w:jc w:val="center"/>
        <w:rPr>
          <w:rFonts w:cs="Arial"/>
          <w:b/>
          <w:sz w:val="24"/>
          <w:szCs w:val="24"/>
        </w:rPr>
      </w:pPr>
    </w:p>
    <w:p w:rsidR="00444A3C" w:rsidRPr="003906D0" w:rsidRDefault="00444A3C">
      <w:pPr>
        <w:jc w:val="center"/>
        <w:rPr>
          <w:rFonts w:cs="Arial"/>
          <w:b/>
          <w:sz w:val="24"/>
          <w:szCs w:val="24"/>
        </w:rPr>
      </w:pPr>
    </w:p>
    <w:p w:rsidR="00C673B8" w:rsidRPr="003906D0" w:rsidRDefault="00C673B8">
      <w:pPr>
        <w:jc w:val="center"/>
        <w:rPr>
          <w:rFonts w:cs="Arial"/>
          <w:b/>
          <w:sz w:val="24"/>
          <w:szCs w:val="24"/>
          <w:lang w:val="sr-Latn-CS"/>
        </w:rPr>
      </w:pPr>
    </w:p>
    <w:p w:rsidR="00C673B8" w:rsidRPr="003906D0" w:rsidRDefault="00C673B8">
      <w:pPr>
        <w:jc w:val="center"/>
        <w:rPr>
          <w:rFonts w:cs="Arial"/>
          <w:b/>
          <w:sz w:val="24"/>
          <w:szCs w:val="24"/>
          <w:lang w:val="sr-Latn-CS"/>
        </w:rPr>
      </w:pPr>
    </w:p>
    <w:p w:rsidR="009343DE" w:rsidRPr="003906D0" w:rsidRDefault="009343DE">
      <w:pPr>
        <w:jc w:val="center"/>
        <w:rPr>
          <w:rFonts w:cs="Arial"/>
          <w:b/>
          <w:sz w:val="24"/>
          <w:szCs w:val="24"/>
          <w:lang w:val="sr-Latn-CS"/>
        </w:rPr>
      </w:pPr>
    </w:p>
    <w:p w:rsidR="005257EB" w:rsidRPr="003906D0" w:rsidRDefault="005257EB">
      <w:pPr>
        <w:jc w:val="center"/>
        <w:rPr>
          <w:rFonts w:cs="Arial"/>
          <w:b/>
          <w:sz w:val="24"/>
          <w:szCs w:val="24"/>
          <w:lang w:val="sr-Cyrl-CS"/>
        </w:rPr>
      </w:pPr>
    </w:p>
    <w:p w:rsidR="00352E2F" w:rsidRPr="003906D0" w:rsidRDefault="00352E2F">
      <w:pPr>
        <w:jc w:val="center"/>
        <w:rPr>
          <w:rFonts w:cs="Arial"/>
          <w:b/>
          <w:sz w:val="24"/>
          <w:szCs w:val="24"/>
          <w:lang w:val="sr-Cyrl-CS"/>
        </w:rPr>
      </w:pPr>
    </w:p>
    <w:p w:rsidR="006E2157" w:rsidRPr="003906D0" w:rsidRDefault="006E2157">
      <w:pPr>
        <w:jc w:val="center"/>
        <w:rPr>
          <w:rFonts w:cs="Arial"/>
          <w:b/>
          <w:sz w:val="24"/>
          <w:szCs w:val="24"/>
          <w:lang w:val="sr-Cyrl-CS"/>
        </w:rPr>
      </w:pPr>
    </w:p>
    <w:p w:rsidR="00FD43B5" w:rsidRPr="003906D0" w:rsidRDefault="00FD43B5">
      <w:pPr>
        <w:jc w:val="center"/>
        <w:rPr>
          <w:rFonts w:cs="Arial"/>
          <w:b/>
          <w:sz w:val="24"/>
          <w:szCs w:val="24"/>
          <w:lang w:val="sr-Cyrl-CS"/>
        </w:rPr>
      </w:pPr>
    </w:p>
    <w:p w:rsidR="004159EA" w:rsidRPr="003906D0" w:rsidRDefault="004159EA" w:rsidP="004159EA">
      <w:pPr>
        <w:rPr>
          <w:rFonts w:cs="Arial"/>
          <w:sz w:val="16"/>
          <w:szCs w:val="16"/>
          <w:lang w:val="sr-Latn-CS" w:eastAsia="ar-SA"/>
        </w:rPr>
      </w:pPr>
      <w:r w:rsidRPr="003906D0">
        <w:rPr>
          <w:rFonts w:cs="Arial"/>
          <w:sz w:val="16"/>
          <w:szCs w:val="16"/>
          <w:lang w:eastAsia="ar-SA"/>
        </w:rPr>
        <w:t>Copyright ©</w:t>
      </w:r>
      <w:r w:rsidRPr="003906D0">
        <w:rPr>
          <w:rFonts w:cs="Arial"/>
          <w:sz w:val="16"/>
          <w:szCs w:val="16"/>
          <w:lang w:val="sr-Cyrl-CS" w:eastAsia="ar-SA"/>
        </w:rPr>
        <w:t xml:space="preserve"> </w:t>
      </w:r>
      <w:r w:rsidRPr="003906D0">
        <w:rPr>
          <w:rFonts w:cs="Arial"/>
          <w:sz w:val="16"/>
          <w:szCs w:val="16"/>
          <w:lang w:eastAsia="ar-SA"/>
        </w:rPr>
        <w:t>201</w:t>
      </w:r>
      <w:r w:rsidR="005257EB" w:rsidRPr="003906D0">
        <w:rPr>
          <w:rFonts w:cs="Arial"/>
          <w:sz w:val="16"/>
          <w:szCs w:val="16"/>
          <w:lang w:val="sr-Cyrl-CS" w:eastAsia="ar-SA"/>
        </w:rPr>
        <w:t>8</w:t>
      </w:r>
      <w:r w:rsidRPr="003906D0">
        <w:rPr>
          <w:rFonts w:cs="Arial"/>
          <w:sz w:val="16"/>
          <w:szCs w:val="16"/>
          <w:lang w:eastAsia="ar-SA"/>
        </w:rPr>
        <w:t xml:space="preserve"> </w:t>
      </w:r>
      <w:r w:rsidRPr="003906D0">
        <w:rPr>
          <w:rFonts w:cs="Arial"/>
          <w:sz w:val="16"/>
          <w:szCs w:val="16"/>
          <w:lang w:val="sr-Latn-CS" w:eastAsia="ar-SA"/>
        </w:rPr>
        <w:t xml:space="preserve">– </w:t>
      </w:r>
      <w:r w:rsidRPr="003906D0">
        <w:rPr>
          <w:rFonts w:cs="Arial"/>
          <w:sz w:val="16"/>
          <w:szCs w:val="16"/>
          <w:lang w:val="ru-RU" w:eastAsia="ar-SA"/>
        </w:rPr>
        <w:t>Факултет медицинских наука Универзитета у Крагујевцу</w:t>
      </w:r>
      <w:r w:rsidRPr="003906D0">
        <w:rPr>
          <w:rFonts w:cs="Arial"/>
          <w:sz w:val="16"/>
          <w:szCs w:val="16"/>
          <w:lang w:val="sr-Latn-CS" w:eastAsia="ar-SA"/>
        </w:rPr>
        <w:t xml:space="preserve">. Сва права задржана. Без претходне писмене дозволе од стране </w:t>
      </w:r>
      <w:r w:rsidRPr="003906D0">
        <w:rPr>
          <w:rFonts w:cs="Arial"/>
          <w:sz w:val="16"/>
          <w:szCs w:val="16"/>
          <w:lang w:val="ru-RU" w:eastAsia="ar-SA"/>
        </w:rPr>
        <w:t xml:space="preserve">Факултета медицинских наука </w:t>
      </w:r>
      <w:r w:rsidRPr="003906D0">
        <w:rPr>
          <w:rFonts w:cs="Arial"/>
          <w:sz w:val="16"/>
          <w:szCs w:val="16"/>
          <w:lang w:val="sr-Latn-CS" w:eastAsia="ar-SA"/>
        </w:rPr>
        <w:t>забрањена је репродукција, трансфер, дистрибуција или меморисање неког дела или читавих садржаја овог документа, копирањем, снимањем, електронским путем, скенирањем или на било који други начин.</w:t>
      </w:r>
    </w:p>
    <w:p w:rsidR="0080795A" w:rsidRPr="003906D0" w:rsidRDefault="004159EA" w:rsidP="004159EA">
      <w:pPr>
        <w:rPr>
          <w:rFonts w:cs="Arial"/>
          <w:sz w:val="16"/>
          <w:szCs w:val="16"/>
          <w:lang w:eastAsia="ar-SA"/>
        </w:rPr>
      </w:pPr>
      <w:r w:rsidRPr="003906D0">
        <w:rPr>
          <w:rFonts w:cs="Arial"/>
          <w:sz w:val="16"/>
          <w:szCs w:val="16"/>
          <w:lang w:eastAsia="ar-SA"/>
        </w:rPr>
        <w:t>Copyright © 201</w:t>
      </w:r>
      <w:r w:rsidR="005257EB" w:rsidRPr="003906D0">
        <w:rPr>
          <w:rFonts w:cs="Arial"/>
          <w:sz w:val="16"/>
          <w:szCs w:val="16"/>
          <w:lang w:eastAsia="ar-SA"/>
        </w:rPr>
        <w:t>8</w:t>
      </w:r>
      <w:r w:rsidRPr="003906D0">
        <w:rPr>
          <w:rFonts w:cs="Arial"/>
          <w:sz w:val="16"/>
          <w:szCs w:val="16"/>
          <w:lang w:val="sr-Cyrl-CS" w:eastAsia="ar-SA"/>
        </w:rPr>
        <w:t xml:space="preserve"> </w:t>
      </w:r>
      <w:r w:rsidRPr="003906D0">
        <w:rPr>
          <w:rFonts w:cs="Arial"/>
          <w:sz w:val="16"/>
          <w:szCs w:val="16"/>
          <w:lang w:val="sr-Latn-CS" w:eastAsia="ar-SA"/>
        </w:rPr>
        <w:t>–</w:t>
      </w:r>
      <w:r w:rsidRPr="003906D0">
        <w:rPr>
          <w:rFonts w:cs="Arial"/>
          <w:sz w:val="16"/>
          <w:szCs w:val="16"/>
          <w:lang w:eastAsia="ar-SA"/>
        </w:rPr>
        <w:t xml:space="preserve"> Faculty of Medical Sciences of </w:t>
      </w:r>
      <w:smartTag w:uri="urn:schemas-microsoft-com:office:smarttags" w:element="place">
        <w:smartTag w:uri="urn:schemas-microsoft-com:office:smarttags" w:element="PlaceType">
          <w:r w:rsidRPr="003906D0">
            <w:rPr>
              <w:rFonts w:cs="Arial"/>
              <w:sz w:val="16"/>
              <w:szCs w:val="16"/>
              <w:lang w:eastAsia="ar-SA"/>
            </w:rPr>
            <w:t>University</w:t>
          </w:r>
        </w:smartTag>
        <w:r w:rsidRPr="003906D0">
          <w:rPr>
            <w:rFonts w:cs="Arial"/>
            <w:sz w:val="16"/>
            <w:szCs w:val="16"/>
            <w:lang w:eastAsia="ar-SA"/>
          </w:rPr>
          <w:t xml:space="preserve"> of </w:t>
        </w:r>
        <w:smartTag w:uri="urn:schemas-microsoft-com:office:smarttags" w:element="PlaceName">
          <w:r w:rsidRPr="003906D0">
            <w:rPr>
              <w:rFonts w:cs="Arial"/>
              <w:sz w:val="16"/>
              <w:szCs w:val="16"/>
              <w:lang w:eastAsia="ar-SA"/>
            </w:rPr>
            <w:t>Kragujevac</w:t>
          </w:r>
        </w:smartTag>
      </w:smartTag>
      <w:r w:rsidRPr="003906D0">
        <w:rPr>
          <w:rFonts w:cs="Arial"/>
          <w:sz w:val="16"/>
          <w:szCs w:val="16"/>
          <w:lang w:eastAsia="ar-SA"/>
        </w:rPr>
        <w:t>. All rights reserved. No part of this publication may be reproduced, stored in a retrieval system or transmitted in any form or by any means, electronic, mechanical, photocopying,</w:t>
      </w:r>
      <w:r w:rsidRPr="003906D0">
        <w:rPr>
          <w:rFonts w:cs="Arial"/>
          <w:sz w:val="16"/>
          <w:szCs w:val="16"/>
          <w:lang w:val="sr-Cyrl-CS" w:eastAsia="ar-SA"/>
        </w:rPr>
        <w:t xml:space="preserve">, </w:t>
      </w:r>
      <w:r w:rsidRPr="003906D0">
        <w:rPr>
          <w:rFonts w:cs="Arial"/>
          <w:sz w:val="16"/>
          <w:szCs w:val="16"/>
          <w:lang w:eastAsia="ar-SA"/>
        </w:rPr>
        <w:t>recording, scanning or otherwise, without the prior written permission of Faculty of Medical Sciences</w:t>
      </w:r>
      <w:r w:rsidR="0080795A" w:rsidRPr="003906D0">
        <w:rPr>
          <w:rFonts w:cs="Arial"/>
          <w:sz w:val="16"/>
          <w:szCs w:val="16"/>
          <w:lang w:eastAsia="ar-SA"/>
        </w:rPr>
        <w:t xml:space="preserve">. </w:t>
      </w:r>
    </w:p>
    <w:p w:rsidR="00375A12" w:rsidRPr="003906D0" w:rsidRDefault="00375A12" w:rsidP="00CD4526">
      <w:pPr>
        <w:jc w:val="center"/>
        <w:rPr>
          <w:rFonts w:cs="Arial"/>
        </w:rPr>
      </w:pPr>
    </w:p>
    <w:p w:rsidR="001653E0" w:rsidRPr="003906D0" w:rsidRDefault="001653E0">
      <w:pPr>
        <w:rPr>
          <w:rFonts w:cs="Arial"/>
          <w:b/>
          <w:sz w:val="24"/>
          <w:szCs w:val="24"/>
          <w:lang w:val="sr-Latn-CS"/>
        </w:rPr>
      </w:pPr>
    </w:p>
    <w:p w:rsidR="003729AC" w:rsidRPr="003906D0" w:rsidRDefault="003729AC">
      <w:pPr>
        <w:rPr>
          <w:rFonts w:cs="Arial"/>
          <w:b/>
          <w:sz w:val="24"/>
          <w:szCs w:val="24"/>
          <w:lang w:val="sr-Latn-CS"/>
        </w:rPr>
      </w:pPr>
    </w:p>
    <w:p w:rsidR="001653E0" w:rsidRPr="003906D0" w:rsidRDefault="002D3376" w:rsidP="001653E0">
      <w:pPr>
        <w:jc w:val="center"/>
        <w:rPr>
          <w:rFonts w:cs="Arial"/>
          <w:b/>
          <w:sz w:val="24"/>
          <w:szCs w:val="24"/>
          <w:lang w:val="sr-Latn-CS"/>
        </w:rPr>
      </w:pPr>
      <w:r w:rsidRPr="003906D0">
        <w:rPr>
          <w:rFonts w:cs="Arial"/>
          <w:b/>
          <w:sz w:val="24"/>
          <w:szCs w:val="24"/>
          <w:lang w:val="sr-Latn-CS"/>
        </w:rPr>
        <w:t>САДРЖАЈ</w:t>
      </w:r>
    </w:p>
    <w:p w:rsidR="00895A0E" w:rsidRPr="003906D0" w:rsidRDefault="00895A0E" w:rsidP="001653E0">
      <w:pPr>
        <w:jc w:val="center"/>
        <w:rPr>
          <w:rFonts w:cs="Arial"/>
          <w:b/>
          <w:sz w:val="24"/>
          <w:szCs w:val="24"/>
          <w:lang w:val="sr-Latn-CS"/>
        </w:rPr>
      </w:pPr>
    </w:p>
    <w:p w:rsidR="00E81CBC" w:rsidRDefault="00520B94">
      <w:pPr>
        <w:pStyle w:val="TOC1"/>
        <w:tabs>
          <w:tab w:val="right" w:leader="dot" w:pos="9061"/>
        </w:tabs>
        <w:rPr>
          <w:rFonts w:asciiTheme="minorHAnsi" w:eastAsiaTheme="minorEastAsia" w:hAnsiTheme="minorHAnsi" w:cstheme="minorBidi"/>
          <w:noProof/>
          <w:color w:val="auto"/>
          <w:sz w:val="22"/>
          <w:szCs w:val="22"/>
          <w:lang w:val="en-US"/>
        </w:rPr>
      </w:pPr>
      <w:r w:rsidRPr="003906D0">
        <w:rPr>
          <w:rFonts w:cs="Arial"/>
          <w:sz w:val="24"/>
          <w:szCs w:val="24"/>
          <w:lang w:val="sr-Latn-CS"/>
        </w:rPr>
        <w:fldChar w:fldCharType="begin"/>
      </w:r>
      <w:r w:rsidR="00CD6AC8" w:rsidRPr="003906D0">
        <w:rPr>
          <w:rFonts w:cs="Arial"/>
          <w:sz w:val="24"/>
          <w:szCs w:val="24"/>
          <w:lang w:val="sr-Latn-CS"/>
        </w:rPr>
        <w:instrText xml:space="preserve"> TOC \o "1-3" \h \z \u </w:instrText>
      </w:r>
      <w:r w:rsidRPr="003906D0">
        <w:rPr>
          <w:rFonts w:cs="Arial"/>
          <w:sz w:val="24"/>
          <w:szCs w:val="24"/>
          <w:lang w:val="sr-Latn-CS"/>
        </w:rPr>
        <w:fldChar w:fldCharType="separate"/>
      </w:r>
      <w:hyperlink w:anchor="_Toc530936614" w:history="1">
        <w:r w:rsidR="00E81CBC" w:rsidRPr="003E009E">
          <w:rPr>
            <w:rStyle w:val="Hyperlink"/>
            <w:noProof/>
            <w:lang w:val="sr-Cyrl-CS"/>
          </w:rPr>
          <w:t>Увод у методе доношења одлука у управљању здравственим системом</w:t>
        </w:r>
        <w:r w:rsidR="00E81CBC">
          <w:rPr>
            <w:noProof/>
            <w:webHidden/>
          </w:rPr>
          <w:tab/>
        </w:r>
        <w:r w:rsidR="00E81CBC">
          <w:rPr>
            <w:noProof/>
            <w:webHidden/>
          </w:rPr>
          <w:fldChar w:fldCharType="begin"/>
        </w:r>
        <w:r w:rsidR="00E81CBC">
          <w:rPr>
            <w:noProof/>
            <w:webHidden/>
          </w:rPr>
          <w:instrText xml:space="preserve"> PAGEREF _Toc530936614 \h </w:instrText>
        </w:r>
        <w:r w:rsidR="00E81CBC">
          <w:rPr>
            <w:noProof/>
            <w:webHidden/>
          </w:rPr>
        </w:r>
        <w:r w:rsidR="00E81CBC">
          <w:rPr>
            <w:noProof/>
            <w:webHidden/>
          </w:rPr>
          <w:fldChar w:fldCharType="separate"/>
        </w:r>
        <w:r w:rsidR="00E81CBC">
          <w:rPr>
            <w:noProof/>
            <w:webHidden/>
          </w:rPr>
          <w:t>2</w:t>
        </w:r>
        <w:r w:rsidR="00E81CBC">
          <w:rPr>
            <w:noProof/>
            <w:webHidden/>
          </w:rPr>
          <w:fldChar w:fldCharType="end"/>
        </w:r>
      </w:hyperlink>
    </w:p>
    <w:p w:rsidR="00E81CBC" w:rsidRDefault="00E81CBC">
      <w:pPr>
        <w:pStyle w:val="TOC2"/>
        <w:tabs>
          <w:tab w:val="right" w:leader="dot" w:pos="9061"/>
        </w:tabs>
        <w:rPr>
          <w:rFonts w:asciiTheme="minorHAnsi" w:eastAsiaTheme="minorEastAsia" w:hAnsiTheme="minorHAnsi" w:cstheme="minorBidi"/>
          <w:noProof/>
          <w:color w:val="auto"/>
          <w:sz w:val="22"/>
          <w:szCs w:val="22"/>
          <w:lang w:val="en-US"/>
        </w:rPr>
      </w:pPr>
      <w:hyperlink w:anchor="_Toc530936615" w:history="1">
        <w:r w:rsidRPr="003E009E">
          <w:rPr>
            <w:rStyle w:val="Hyperlink"/>
            <w:noProof/>
          </w:rPr>
          <w:t>Историјска основа и развој техника одлучивања</w:t>
        </w:r>
        <w:r>
          <w:rPr>
            <w:noProof/>
            <w:webHidden/>
          </w:rPr>
          <w:tab/>
        </w:r>
        <w:r>
          <w:rPr>
            <w:noProof/>
            <w:webHidden/>
          </w:rPr>
          <w:fldChar w:fldCharType="begin"/>
        </w:r>
        <w:r>
          <w:rPr>
            <w:noProof/>
            <w:webHidden/>
          </w:rPr>
          <w:instrText xml:space="preserve"> PAGEREF _Toc530936615 \h </w:instrText>
        </w:r>
        <w:r>
          <w:rPr>
            <w:noProof/>
            <w:webHidden/>
          </w:rPr>
        </w:r>
        <w:r>
          <w:rPr>
            <w:noProof/>
            <w:webHidden/>
          </w:rPr>
          <w:fldChar w:fldCharType="separate"/>
        </w:r>
        <w:r>
          <w:rPr>
            <w:noProof/>
            <w:webHidden/>
          </w:rPr>
          <w:t>2</w:t>
        </w:r>
        <w:r>
          <w:rPr>
            <w:noProof/>
            <w:webHidden/>
          </w:rPr>
          <w:fldChar w:fldCharType="end"/>
        </w:r>
      </w:hyperlink>
    </w:p>
    <w:p w:rsidR="00E81CBC" w:rsidRDefault="00E81CBC">
      <w:pPr>
        <w:pStyle w:val="TOC2"/>
        <w:tabs>
          <w:tab w:val="right" w:leader="dot" w:pos="9061"/>
        </w:tabs>
        <w:rPr>
          <w:rFonts w:asciiTheme="minorHAnsi" w:eastAsiaTheme="minorEastAsia" w:hAnsiTheme="minorHAnsi" w:cstheme="minorBidi"/>
          <w:noProof/>
          <w:color w:val="auto"/>
          <w:sz w:val="22"/>
          <w:szCs w:val="22"/>
          <w:lang w:val="en-US"/>
        </w:rPr>
      </w:pPr>
      <w:hyperlink w:anchor="_Toc530936616" w:history="1">
        <w:r w:rsidRPr="003E009E">
          <w:rPr>
            <w:rStyle w:val="Hyperlink"/>
            <w:noProof/>
          </w:rPr>
          <w:t>Менаџер у здравству и доношење одлука:</w:t>
        </w:r>
        <w:r>
          <w:rPr>
            <w:noProof/>
            <w:webHidden/>
          </w:rPr>
          <w:tab/>
        </w:r>
        <w:r>
          <w:rPr>
            <w:noProof/>
            <w:webHidden/>
          </w:rPr>
          <w:fldChar w:fldCharType="begin"/>
        </w:r>
        <w:r>
          <w:rPr>
            <w:noProof/>
            <w:webHidden/>
          </w:rPr>
          <w:instrText xml:space="preserve"> PAGEREF _Toc530936616 \h </w:instrText>
        </w:r>
        <w:r>
          <w:rPr>
            <w:noProof/>
            <w:webHidden/>
          </w:rPr>
        </w:r>
        <w:r>
          <w:rPr>
            <w:noProof/>
            <w:webHidden/>
          </w:rPr>
          <w:fldChar w:fldCharType="separate"/>
        </w:r>
        <w:r>
          <w:rPr>
            <w:noProof/>
            <w:webHidden/>
          </w:rPr>
          <w:t>3</w:t>
        </w:r>
        <w:r>
          <w:rPr>
            <w:noProof/>
            <w:webHidden/>
          </w:rPr>
          <w:fldChar w:fldCharType="end"/>
        </w:r>
      </w:hyperlink>
    </w:p>
    <w:p w:rsidR="00E81CBC" w:rsidRDefault="00E81CBC">
      <w:pPr>
        <w:pStyle w:val="TOC2"/>
        <w:tabs>
          <w:tab w:val="right" w:leader="dot" w:pos="9061"/>
        </w:tabs>
        <w:rPr>
          <w:rFonts w:asciiTheme="minorHAnsi" w:eastAsiaTheme="minorEastAsia" w:hAnsiTheme="minorHAnsi" w:cstheme="minorBidi"/>
          <w:noProof/>
          <w:color w:val="auto"/>
          <w:sz w:val="22"/>
          <w:szCs w:val="22"/>
          <w:lang w:val="en-US"/>
        </w:rPr>
      </w:pPr>
      <w:hyperlink w:anchor="_Toc530936617" w:history="1">
        <w:r w:rsidRPr="003E009E">
          <w:rPr>
            <w:rStyle w:val="Hyperlink"/>
            <w:noProof/>
          </w:rPr>
          <w:t>Информационе технологије (ИТ) и менаџмент здравствене заштите</w:t>
        </w:r>
        <w:r>
          <w:rPr>
            <w:noProof/>
            <w:webHidden/>
          </w:rPr>
          <w:tab/>
        </w:r>
        <w:r>
          <w:rPr>
            <w:noProof/>
            <w:webHidden/>
          </w:rPr>
          <w:fldChar w:fldCharType="begin"/>
        </w:r>
        <w:r>
          <w:rPr>
            <w:noProof/>
            <w:webHidden/>
          </w:rPr>
          <w:instrText xml:space="preserve"> PAGEREF _Toc530936617 \h </w:instrText>
        </w:r>
        <w:r>
          <w:rPr>
            <w:noProof/>
            <w:webHidden/>
          </w:rPr>
        </w:r>
        <w:r>
          <w:rPr>
            <w:noProof/>
            <w:webHidden/>
          </w:rPr>
          <w:fldChar w:fldCharType="separate"/>
        </w:r>
        <w:r>
          <w:rPr>
            <w:noProof/>
            <w:webHidden/>
          </w:rPr>
          <w:t>3</w:t>
        </w:r>
        <w:r>
          <w:rPr>
            <w:noProof/>
            <w:webHidden/>
          </w:rPr>
          <w:fldChar w:fldCharType="end"/>
        </w:r>
      </w:hyperlink>
    </w:p>
    <w:p w:rsidR="00E81CBC" w:rsidRDefault="00E81CBC">
      <w:pPr>
        <w:pStyle w:val="TOC2"/>
        <w:tabs>
          <w:tab w:val="right" w:leader="dot" w:pos="9061"/>
        </w:tabs>
        <w:rPr>
          <w:rFonts w:asciiTheme="minorHAnsi" w:eastAsiaTheme="minorEastAsia" w:hAnsiTheme="minorHAnsi" w:cstheme="minorBidi"/>
          <w:noProof/>
          <w:color w:val="auto"/>
          <w:sz w:val="22"/>
          <w:szCs w:val="22"/>
          <w:lang w:val="en-US"/>
        </w:rPr>
      </w:pPr>
      <w:hyperlink w:anchor="_Toc530936618" w:history="1">
        <w:r w:rsidRPr="003E009E">
          <w:rPr>
            <w:rStyle w:val="Hyperlink"/>
            <w:noProof/>
          </w:rPr>
          <w:t>Опсег услуга здравствене заштите и најновији трендови</w:t>
        </w:r>
        <w:r>
          <w:rPr>
            <w:noProof/>
            <w:webHidden/>
          </w:rPr>
          <w:tab/>
        </w:r>
        <w:r>
          <w:rPr>
            <w:noProof/>
            <w:webHidden/>
          </w:rPr>
          <w:fldChar w:fldCharType="begin"/>
        </w:r>
        <w:r>
          <w:rPr>
            <w:noProof/>
            <w:webHidden/>
          </w:rPr>
          <w:instrText xml:space="preserve"> PAGEREF _Toc530936618 \h </w:instrText>
        </w:r>
        <w:r>
          <w:rPr>
            <w:noProof/>
            <w:webHidden/>
          </w:rPr>
        </w:r>
        <w:r>
          <w:rPr>
            <w:noProof/>
            <w:webHidden/>
          </w:rPr>
          <w:fldChar w:fldCharType="separate"/>
        </w:r>
        <w:r>
          <w:rPr>
            <w:noProof/>
            <w:webHidden/>
          </w:rPr>
          <w:t>3</w:t>
        </w:r>
        <w:r>
          <w:rPr>
            <w:noProof/>
            <w:webHidden/>
          </w:rPr>
          <w:fldChar w:fldCharType="end"/>
        </w:r>
      </w:hyperlink>
    </w:p>
    <w:p w:rsidR="00E81CBC" w:rsidRDefault="00E81CBC">
      <w:pPr>
        <w:pStyle w:val="TOC2"/>
        <w:tabs>
          <w:tab w:val="right" w:leader="dot" w:pos="9061"/>
        </w:tabs>
        <w:rPr>
          <w:rFonts w:asciiTheme="minorHAnsi" w:eastAsiaTheme="minorEastAsia" w:hAnsiTheme="minorHAnsi" w:cstheme="minorBidi"/>
          <w:noProof/>
          <w:color w:val="auto"/>
          <w:sz w:val="22"/>
          <w:szCs w:val="22"/>
          <w:lang w:val="en-US"/>
        </w:rPr>
      </w:pPr>
      <w:hyperlink w:anchor="_Toc530936619" w:history="1">
        <w:r w:rsidRPr="003E009E">
          <w:rPr>
            <w:rStyle w:val="Hyperlink"/>
            <w:noProof/>
          </w:rPr>
          <w:t>Управљање здравственим услугама</w:t>
        </w:r>
        <w:r>
          <w:rPr>
            <w:noProof/>
            <w:webHidden/>
          </w:rPr>
          <w:tab/>
        </w:r>
        <w:r>
          <w:rPr>
            <w:noProof/>
            <w:webHidden/>
          </w:rPr>
          <w:fldChar w:fldCharType="begin"/>
        </w:r>
        <w:r>
          <w:rPr>
            <w:noProof/>
            <w:webHidden/>
          </w:rPr>
          <w:instrText xml:space="preserve"> PAGEREF _Toc530936619 \h </w:instrText>
        </w:r>
        <w:r>
          <w:rPr>
            <w:noProof/>
            <w:webHidden/>
          </w:rPr>
        </w:r>
        <w:r>
          <w:rPr>
            <w:noProof/>
            <w:webHidden/>
          </w:rPr>
          <w:fldChar w:fldCharType="separate"/>
        </w:r>
        <w:r>
          <w:rPr>
            <w:noProof/>
            <w:webHidden/>
          </w:rPr>
          <w:t>5</w:t>
        </w:r>
        <w:r>
          <w:rPr>
            <w:noProof/>
            <w:webHidden/>
          </w:rPr>
          <w:fldChar w:fldCharType="end"/>
        </w:r>
      </w:hyperlink>
    </w:p>
    <w:p w:rsidR="00E81CBC" w:rsidRDefault="00E81CBC">
      <w:pPr>
        <w:pStyle w:val="TOC2"/>
        <w:tabs>
          <w:tab w:val="right" w:leader="dot" w:pos="9061"/>
        </w:tabs>
        <w:rPr>
          <w:rFonts w:asciiTheme="minorHAnsi" w:eastAsiaTheme="minorEastAsia" w:hAnsiTheme="minorHAnsi" w:cstheme="minorBidi"/>
          <w:noProof/>
          <w:color w:val="auto"/>
          <w:sz w:val="22"/>
          <w:szCs w:val="22"/>
          <w:lang w:val="en-US"/>
        </w:rPr>
      </w:pPr>
      <w:hyperlink w:anchor="_Toc530936620" w:history="1">
        <w:r w:rsidRPr="003E009E">
          <w:rPr>
            <w:rStyle w:val="Hyperlink"/>
            <w:noProof/>
          </w:rPr>
          <w:t>Одлике здравствених услуга</w:t>
        </w:r>
        <w:r>
          <w:rPr>
            <w:noProof/>
            <w:webHidden/>
          </w:rPr>
          <w:tab/>
        </w:r>
        <w:r>
          <w:rPr>
            <w:noProof/>
            <w:webHidden/>
          </w:rPr>
          <w:fldChar w:fldCharType="begin"/>
        </w:r>
        <w:r>
          <w:rPr>
            <w:noProof/>
            <w:webHidden/>
          </w:rPr>
          <w:instrText xml:space="preserve"> PAGEREF _Toc530936620 \h </w:instrText>
        </w:r>
        <w:r>
          <w:rPr>
            <w:noProof/>
            <w:webHidden/>
          </w:rPr>
        </w:r>
        <w:r>
          <w:rPr>
            <w:noProof/>
            <w:webHidden/>
          </w:rPr>
          <w:fldChar w:fldCharType="separate"/>
        </w:r>
        <w:r>
          <w:rPr>
            <w:noProof/>
            <w:webHidden/>
          </w:rPr>
          <w:t>6</w:t>
        </w:r>
        <w:r>
          <w:rPr>
            <w:noProof/>
            <w:webHidden/>
          </w:rPr>
          <w:fldChar w:fldCharType="end"/>
        </w:r>
      </w:hyperlink>
    </w:p>
    <w:p w:rsidR="00E81CBC" w:rsidRDefault="00E81CBC">
      <w:pPr>
        <w:pStyle w:val="TOC3"/>
        <w:tabs>
          <w:tab w:val="right" w:leader="dot" w:pos="9061"/>
        </w:tabs>
        <w:rPr>
          <w:rFonts w:asciiTheme="minorHAnsi" w:eastAsiaTheme="minorEastAsia" w:hAnsiTheme="minorHAnsi" w:cstheme="minorBidi"/>
          <w:noProof/>
          <w:color w:val="auto"/>
          <w:sz w:val="22"/>
          <w:szCs w:val="22"/>
          <w:lang w:val="en-US"/>
        </w:rPr>
      </w:pPr>
      <w:hyperlink w:anchor="_Toc530936621" w:history="1">
        <w:r w:rsidRPr="003E009E">
          <w:rPr>
            <w:rStyle w:val="Hyperlink"/>
            <w:noProof/>
          </w:rPr>
          <w:t>Учешће пацијента</w:t>
        </w:r>
        <w:r>
          <w:rPr>
            <w:noProof/>
            <w:webHidden/>
          </w:rPr>
          <w:tab/>
        </w:r>
        <w:r>
          <w:rPr>
            <w:noProof/>
            <w:webHidden/>
          </w:rPr>
          <w:fldChar w:fldCharType="begin"/>
        </w:r>
        <w:r>
          <w:rPr>
            <w:noProof/>
            <w:webHidden/>
          </w:rPr>
          <w:instrText xml:space="preserve"> PAGEREF _Toc530936621 \h </w:instrText>
        </w:r>
        <w:r>
          <w:rPr>
            <w:noProof/>
            <w:webHidden/>
          </w:rPr>
        </w:r>
        <w:r>
          <w:rPr>
            <w:noProof/>
            <w:webHidden/>
          </w:rPr>
          <w:fldChar w:fldCharType="separate"/>
        </w:r>
        <w:r>
          <w:rPr>
            <w:noProof/>
            <w:webHidden/>
          </w:rPr>
          <w:t>6</w:t>
        </w:r>
        <w:r>
          <w:rPr>
            <w:noProof/>
            <w:webHidden/>
          </w:rPr>
          <w:fldChar w:fldCharType="end"/>
        </w:r>
      </w:hyperlink>
    </w:p>
    <w:p w:rsidR="00E81CBC" w:rsidRDefault="00E81CBC">
      <w:pPr>
        <w:pStyle w:val="TOC3"/>
        <w:tabs>
          <w:tab w:val="right" w:leader="dot" w:pos="9061"/>
        </w:tabs>
        <w:rPr>
          <w:rFonts w:asciiTheme="minorHAnsi" w:eastAsiaTheme="minorEastAsia" w:hAnsiTheme="minorHAnsi" w:cstheme="minorBidi"/>
          <w:noProof/>
          <w:color w:val="auto"/>
          <w:sz w:val="22"/>
          <w:szCs w:val="22"/>
          <w:lang w:val="en-US"/>
        </w:rPr>
      </w:pPr>
      <w:hyperlink w:anchor="_Toc530936622" w:history="1">
        <w:r w:rsidRPr="003E009E">
          <w:rPr>
            <w:rStyle w:val="Hyperlink"/>
            <w:noProof/>
          </w:rPr>
          <w:t>Истовремена производња и потрошња</w:t>
        </w:r>
        <w:r>
          <w:rPr>
            <w:noProof/>
            <w:webHidden/>
          </w:rPr>
          <w:tab/>
        </w:r>
        <w:r>
          <w:rPr>
            <w:noProof/>
            <w:webHidden/>
          </w:rPr>
          <w:fldChar w:fldCharType="begin"/>
        </w:r>
        <w:r>
          <w:rPr>
            <w:noProof/>
            <w:webHidden/>
          </w:rPr>
          <w:instrText xml:space="preserve"> PAGEREF _Toc530936622 \h </w:instrText>
        </w:r>
        <w:r>
          <w:rPr>
            <w:noProof/>
            <w:webHidden/>
          </w:rPr>
        </w:r>
        <w:r>
          <w:rPr>
            <w:noProof/>
            <w:webHidden/>
          </w:rPr>
          <w:fldChar w:fldCharType="separate"/>
        </w:r>
        <w:r>
          <w:rPr>
            <w:noProof/>
            <w:webHidden/>
          </w:rPr>
          <w:t>6</w:t>
        </w:r>
        <w:r>
          <w:rPr>
            <w:noProof/>
            <w:webHidden/>
          </w:rPr>
          <w:fldChar w:fldCharType="end"/>
        </w:r>
      </w:hyperlink>
    </w:p>
    <w:p w:rsidR="00E81CBC" w:rsidRDefault="00E81CBC">
      <w:pPr>
        <w:pStyle w:val="TOC3"/>
        <w:tabs>
          <w:tab w:val="right" w:leader="dot" w:pos="9061"/>
        </w:tabs>
        <w:rPr>
          <w:rFonts w:asciiTheme="minorHAnsi" w:eastAsiaTheme="minorEastAsia" w:hAnsiTheme="minorHAnsi" w:cstheme="minorBidi"/>
          <w:noProof/>
          <w:color w:val="auto"/>
          <w:sz w:val="22"/>
          <w:szCs w:val="22"/>
          <w:lang w:val="en-US"/>
        </w:rPr>
      </w:pPr>
      <w:hyperlink w:anchor="_Toc530936623" w:history="1">
        <w:r w:rsidRPr="003E009E">
          <w:rPr>
            <w:rStyle w:val="Hyperlink"/>
            <w:noProof/>
          </w:rPr>
          <w:t>Кварљиви капацитети</w:t>
        </w:r>
        <w:r>
          <w:rPr>
            <w:noProof/>
            <w:webHidden/>
          </w:rPr>
          <w:tab/>
        </w:r>
        <w:r>
          <w:rPr>
            <w:noProof/>
            <w:webHidden/>
          </w:rPr>
          <w:fldChar w:fldCharType="begin"/>
        </w:r>
        <w:r>
          <w:rPr>
            <w:noProof/>
            <w:webHidden/>
          </w:rPr>
          <w:instrText xml:space="preserve"> PAGEREF _Toc530936623 \h </w:instrText>
        </w:r>
        <w:r>
          <w:rPr>
            <w:noProof/>
            <w:webHidden/>
          </w:rPr>
        </w:r>
        <w:r>
          <w:rPr>
            <w:noProof/>
            <w:webHidden/>
          </w:rPr>
          <w:fldChar w:fldCharType="separate"/>
        </w:r>
        <w:r>
          <w:rPr>
            <w:noProof/>
            <w:webHidden/>
          </w:rPr>
          <w:t>6</w:t>
        </w:r>
        <w:r>
          <w:rPr>
            <w:noProof/>
            <w:webHidden/>
          </w:rPr>
          <w:fldChar w:fldCharType="end"/>
        </w:r>
      </w:hyperlink>
    </w:p>
    <w:p w:rsidR="00E81CBC" w:rsidRDefault="00E81CBC">
      <w:pPr>
        <w:pStyle w:val="TOC3"/>
        <w:tabs>
          <w:tab w:val="right" w:leader="dot" w:pos="9061"/>
        </w:tabs>
        <w:rPr>
          <w:rFonts w:asciiTheme="minorHAnsi" w:eastAsiaTheme="minorEastAsia" w:hAnsiTheme="minorHAnsi" w:cstheme="minorBidi"/>
          <w:noProof/>
          <w:color w:val="auto"/>
          <w:sz w:val="22"/>
          <w:szCs w:val="22"/>
          <w:lang w:val="en-US"/>
        </w:rPr>
      </w:pPr>
      <w:hyperlink w:anchor="_Toc530936624" w:history="1">
        <w:r w:rsidRPr="003E009E">
          <w:rPr>
            <w:rStyle w:val="Hyperlink"/>
            <w:noProof/>
          </w:rPr>
          <w:t>Нематеријална природа резултата здравствене заштите</w:t>
        </w:r>
        <w:r>
          <w:rPr>
            <w:noProof/>
            <w:webHidden/>
          </w:rPr>
          <w:tab/>
        </w:r>
        <w:r>
          <w:rPr>
            <w:noProof/>
            <w:webHidden/>
          </w:rPr>
          <w:fldChar w:fldCharType="begin"/>
        </w:r>
        <w:r>
          <w:rPr>
            <w:noProof/>
            <w:webHidden/>
          </w:rPr>
          <w:instrText xml:space="preserve"> PAGEREF _Toc530936624 \h </w:instrText>
        </w:r>
        <w:r>
          <w:rPr>
            <w:noProof/>
            <w:webHidden/>
          </w:rPr>
        </w:r>
        <w:r>
          <w:rPr>
            <w:noProof/>
            <w:webHidden/>
          </w:rPr>
          <w:fldChar w:fldCharType="separate"/>
        </w:r>
        <w:r>
          <w:rPr>
            <w:noProof/>
            <w:webHidden/>
          </w:rPr>
          <w:t>7</w:t>
        </w:r>
        <w:r>
          <w:rPr>
            <w:noProof/>
            <w:webHidden/>
          </w:rPr>
          <w:fldChar w:fldCharType="end"/>
        </w:r>
      </w:hyperlink>
    </w:p>
    <w:p w:rsidR="00E81CBC" w:rsidRDefault="00E81CBC">
      <w:pPr>
        <w:pStyle w:val="TOC3"/>
        <w:tabs>
          <w:tab w:val="right" w:leader="dot" w:pos="9061"/>
        </w:tabs>
        <w:rPr>
          <w:rFonts w:asciiTheme="minorHAnsi" w:eastAsiaTheme="minorEastAsia" w:hAnsiTheme="minorHAnsi" w:cstheme="minorBidi"/>
          <w:noProof/>
          <w:color w:val="auto"/>
          <w:sz w:val="22"/>
          <w:szCs w:val="22"/>
          <w:lang w:val="en-US"/>
        </w:rPr>
      </w:pPr>
      <w:hyperlink w:anchor="_Toc530936625" w:history="1">
        <w:r w:rsidRPr="003E009E">
          <w:rPr>
            <w:rStyle w:val="Hyperlink"/>
            <w:noProof/>
          </w:rPr>
          <w:t>Неопходни високи нивои процене и хетерогена природа здравствене заштите</w:t>
        </w:r>
        <w:r>
          <w:rPr>
            <w:noProof/>
            <w:webHidden/>
          </w:rPr>
          <w:tab/>
        </w:r>
        <w:r>
          <w:rPr>
            <w:noProof/>
            <w:webHidden/>
          </w:rPr>
          <w:fldChar w:fldCharType="begin"/>
        </w:r>
        <w:r>
          <w:rPr>
            <w:noProof/>
            <w:webHidden/>
          </w:rPr>
          <w:instrText xml:space="preserve"> PAGEREF _Toc530936625 \h </w:instrText>
        </w:r>
        <w:r>
          <w:rPr>
            <w:noProof/>
            <w:webHidden/>
          </w:rPr>
        </w:r>
        <w:r>
          <w:rPr>
            <w:noProof/>
            <w:webHidden/>
          </w:rPr>
          <w:fldChar w:fldCharType="separate"/>
        </w:r>
        <w:r>
          <w:rPr>
            <w:noProof/>
            <w:webHidden/>
          </w:rPr>
          <w:t>7</w:t>
        </w:r>
        <w:r>
          <w:rPr>
            <w:noProof/>
            <w:webHidden/>
          </w:rPr>
          <w:fldChar w:fldCharType="end"/>
        </w:r>
      </w:hyperlink>
    </w:p>
    <w:p w:rsidR="00E81CBC" w:rsidRDefault="00E81CBC">
      <w:pPr>
        <w:pStyle w:val="TOC2"/>
        <w:tabs>
          <w:tab w:val="right" w:leader="dot" w:pos="9061"/>
        </w:tabs>
        <w:rPr>
          <w:rFonts w:asciiTheme="minorHAnsi" w:eastAsiaTheme="minorEastAsia" w:hAnsiTheme="minorHAnsi" w:cstheme="minorBidi"/>
          <w:noProof/>
          <w:color w:val="auto"/>
          <w:sz w:val="22"/>
          <w:szCs w:val="22"/>
          <w:lang w:val="en-US"/>
        </w:rPr>
      </w:pPr>
      <w:hyperlink w:anchor="_Toc530936626" w:history="1">
        <w:r w:rsidRPr="003E009E">
          <w:rPr>
            <w:rStyle w:val="Hyperlink"/>
            <w:noProof/>
          </w:rPr>
          <w:t>Резиме</w:t>
        </w:r>
        <w:r>
          <w:rPr>
            <w:noProof/>
            <w:webHidden/>
          </w:rPr>
          <w:tab/>
        </w:r>
        <w:r>
          <w:rPr>
            <w:noProof/>
            <w:webHidden/>
          </w:rPr>
          <w:fldChar w:fldCharType="begin"/>
        </w:r>
        <w:r>
          <w:rPr>
            <w:noProof/>
            <w:webHidden/>
          </w:rPr>
          <w:instrText xml:space="preserve"> PAGEREF _Toc530936626 \h </w:instrText>
        </w:r>
        <w:r>
          <w:rPr>
            <w:noProof/>
            <w:webHidden/>
          </w:rPr>
        </w:r>
        <w:r>
          <w:rPr>
            <w:noProof/>
            <w:webHidden/>
          </w:rPr>
          <w:fldChar w:fldCharType="separate"/>
        </w:r>
        <w:r>
          <w:rPr>
            <w:noProof/>
            <w:webHidden/>
          </w:rPr>
          <w:t>7</w:t>
        </w:r>
        <w:r>
          <w:rPr>
            <w:noProof/>
            <w:webHidden/>
          </w:rPr>
          <w:fldChar w:fldCharType="end"/>
        </w:r>
      </w:hyperlink>
    </w:p>
    <w:p w:rsidR="00A245D8" w:rsidRPr="003906D0" w:rsidRDefault="00520B94" w:rsidP="001653E0">
      <w:pPr>
        <w:jc w:val="center"/>
        <w:rPr>
          <w:rFonts w:cs="Arial"/>
          <w:sz w:val="24"/>
          <w:szCs w:val="24"/>
          <w:lang w:val="sr-Latn-CS"/>
        </w:rPr>
      </w:pPr>
      <w:r w:rsidRPr="003906D0">
        <w:rPr>
          <w:rFonts w:cs="Arial"/>
          <w:sz w:val="24"/>
          <w:szCs w:val="24"/>
          <w:lang w:val="sr-Latn-CS"/>
        </w:rPr>
        <w:fldChar w:fldCharType="end"/>
      </w:r>
    </w:p>
    <w:p w:rsidR="007E0284" w:rsidRPr="003906D0" w:rsidRDefault="007E0284" w:rsidP="001653E0">
      <w:pPr>
        <w:jc w:val="center"/>
        <w:rPr>
          <w:rFonts w:cs="Arial"/>
          <w:sz w:val="24"/>
          <w:szCs w:val="24"/>
          <w:lang w:val="sr-Latn-CS"/>
        </w:rPr>
      </w:pPr>
    </w:p>
    <w:p w:rsidR="007E0284" w:rsidRPr="003906D0" w:rsidRDefault="007E0284"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lang w:val="sr-Latn-CS"/>
        </w:rPr>
      </w:pPr>
    </w:p>
    <w:p w:rsidR="00B90341" w:rsidRPr="003906D0" w:rsidRDefault="00B90341" w:rsidP="001653E0">
      <w:pPr>
        <w:jc w:val="center"/>
        <w:rPr>
          <w:rFonts w:cs="Arial"/>
          <w:b/>
          <w:sz w:val="24"/>
          <w:szCs w:val="24"/>
        </w:rPr>
      </w:pPr>
    </w:p>
    <w:p w:rsidR="008F71DF" w:rsidRDefault="008F71DF" w:rsidP="001653E0">
      <w:pPr>
        <w:jc w:val="center"/>
        <w:rPr>
          <w:rFonts w:cs="Arial"/>
          <w:sz w:val="24"/>
          <w:szCs w:val="24"/>
        </w:rPr>
      </w:pPr>
    </w:p>
    <w:p w:rsidR="008F71DF" w:rsidRDefault="008F71DF" w:rsidP="001653E0">
      <w:pPr>
        <w:jc w:val="center"/>
        <w:rPr>
          <w:rFonts w:cs="Arial"/>
          <w:sz w:val="24"/>
          <w:szCs w:val="24"/>
        </w:rPr>
      </w:pPr>
    </w:p>
    <w:p w:rsidR="001653E0" w:rsidRPr="003906D0" w:rsidRDefault="002D3376" w:rsidP="001653E0">
      <w:pPr>
        <w:jc w:val="center"/>
        <w:rPr>
          <w:rFonts w:cs="Arial"/>
          <w:sz w:val="24"/>
          <w:szCs w:val="24"/>
        </w:rPr>
      </w:pPr>
      <w:r w:rsidRPr="003906D0">
        <w:rPr>
          <w:rFonts w:cs="Arial"/>
          <w:sz w:val="24"/>
          <w:szCs w:val="24"/>
          <w:lang w:val="sr-Latn-CS"/>
        </w:rPr>
        <w:t>П</w:t>
      </w:r>
      <w:r w:rsidR="001E006D" w:rsidRPr="003906D0">
        <w:rPr>
          <w:rFonts w:cs="Arial"/>
          <w:sz w:val="24"/>
          <w:szCs w:val="24"/>
          <w:lang w:val="sr-Cyrl-CS"/>
        </w:rPr>
        <w:t>р</w:t>
      </w:r>
      <w:r w:rsidRPr="003906D0">
        <w:rPr>
          <w:rFonts w:cs="Arial"/>
          <w:sz w:val="24"/>
          <w:szCs w:val="24"/>
          <w:lang w:val="sr-Latn-CS"/>
        </w:rPr>
        <w:t>едавање</w:t>
      </w:r>
      <w:r w:rsidR="001653E0" w:rsidRPr="003906D0">
        <w:rPr>
          <w:rFonts w:cs="Arial"/>
          <w:sz w:val="24"/>
          <w:szCs w:val="24"/>
          <w:lang w:val="sr-Latn-CS"/>
        </w:rPr>
        <w:t xml:space="preserve"> </w:t>
      </w:r>
      <w:r w:rsidRPr="003906D0">
        <w:rPr>
          <w:rFonts w:cs="Arial"/>
          <w:sz w:val="24"/>
          <w:szCs w:val="24"/>
          <w:lang w:val="sr-Latn-CS"/>
        </w:rPr>
        <w:t>бр</w:t>
      </w:r>
      <w:r w:rsidR="001653E0" w:rsidRPr="003906D0">
        <w:rPr>
          <w:rFonts w:cs="Arial"/>
          <w:sz w:val="24"/>
          <w:szCs w:val="24"/>
          <w:lang w:val="sr-Latn-CS"/>
        </w:rPr>
        <w:t xml:space="preserve">.  </w:t>
      </w:r>
      <w:r w:rsidR="00220AF3" w:rsidRPr="003906D0">
        <w:rPr>
          <w:rFonts w:cs="Arial"/>
          <w:sz w:val="24"/>
          <w:szCs w:val="24"/>
        </w:rPr>
        <w:t>12</w:t>
      </w:r>
    </w:p>
    <w:p w:rsidR="001653E0" w:rsidRPr="003906D0" w:rsidRDefault="001653E0" w:rsidP="001653E0">
      <w:pPr>
        <w:jc w:val="center"/>
        <w:rPr>
          <w:rFonts w:cs="Arial"/>
          <w:sz w:val="24"/>
          <w:szCs w:val="24"/>
        </w:rPr>
      </w:pPr>
    </w:p>
    <w:p w:rsidR="00CD1B95" w:rsidRPr="003906D0" w:rsidRDefault="00CD1B95" w:rsidP="001653E0">
      <w:pPr>
        <w:jc w:val="center"/>
        <w:rPr>
          <w:rFonts w:cs="Arial"/>
          <w:sz w:val="24"/>
          <w:szCs w:val="24"/>
        </w:rPr>
      </w:pPr>
    </w:p>
    <w:p w:rsidR="00CD1B95" w:rsidRPr="003906D0" w:rsidRDefault="00CD1B95" w:rsidP="001653E0">
      <w:pPr>
        <w:jc w:val="center"/>
        <w:rPr>
          <w:rFonts w:cs="Arial"/>
          <w:sz w:val="24"/>
          <w:szCs w:val="24"/>
        </w:rPr>
      </w:pPr>
    </w:p>
    <w:p w:rsidR="001653E0" w:rsidRPr="003906D0" w:rsidRDefault="00F121A0" w:rsidP="000647CD">
      <w:pPr>
        <w:pStyle w:val="Title"/>
        <w:rPr>
          <w:rFonts w:cs="Arial"/>
          <w:b/>
        </w:rPr>
      </w:pPr>
      <w:r w:rsidRPr="003906D0">
        <w:rPr>
          <w:rFonts w:cs="Arial"/>
          <w:b/>
        </w:rPr>
        <w:t>&lt;</w:t>
      </w:r>
      <w:r w:rsidR="00B55BD9" w:rsidRPr="003906D0">
        <w:rPr>
          <w:rFonts w:cs="Arial"/>
        </w:rPr>
        <w:t xml:space="preserve"> </w:t>
      </w:r>
      <w:r w:rsidR="00464A95" w:rsidRPr="00464A95">
        <w:rPr>
          <w:rFonts w:cs="Arial"/>
          <w:b/>
          <w:lang w:val="sr-Cyrl-CS"/>
        </w:rPr>
        <w:t>УПОЗНАВАЊЕ СА КВАНТИТАТИВНИМ МЕТОДИМА</w:t>
      </w:r>
      <w:r w:rsidR="00464A95" w:rsidRPr="003906D0">
        <w:rPr>
          <w:rFonts w:cs="Arial"/>
          <w:b/>
        </w:rPr>
        <w:t xml:space="preserve"> </w:t>
      </w:r>
      <w:r w:rsidR="000647CD" w:rsidRPr="003906D0">
        <w:rPr>
          <w:rFonts w:cs="Arial"/>
          <w:b/>
        </w:rPr>
        <w:t>&gt;</w:t>
      </w:r>
    </w:p>
    <w:p w:rsidR="000647CD" w:rsidRPr="003906D0" w:rsidRDefault="000647CD" w:rsidP="000647CD">
      <w:pPr>
        <w:pStyle w:val="Title"/>
        <w:rPr>
          <w:rFonts w:cs="Arial"/>
          <w:b/>
        </w:rPr>
      </w:pPr>
    </w:p>
    <w:p w:rsidR="00ED2E6B" w:rsidRPr="003906D0" w:rsidRDefault="008F71DF" w:rsidP="00ED2E6B">
      <w:pPr>
        <w:pStyle w:val="Heading1"/>
        <w:rPr>
          <w:lang w:val="sr-Cyrl-CS"/>
        </w:rPr>
      </w:pPr>
      <w:bookmarkStart w:id="1" w:name="_Toc530936614"/>
      <w:r w:rsidRPr="00464A95">
        <w:rPr>
          <w:lang w:val="sr-Cyrl-CS"/>
        </w:rPr>
        <w:t xml:space="preserve">Увод у методе доношења одлука у </w:t>
      </w:r>
      <w:r>
        <w:rPr>
          <w:lang w:val="sr-Cyrl-CS"/>
        </w:rPr>
        <w:t>управљању</w:t>
      </w:r>
      <w:r w:rsidRPr="00464A95">
        <w:rPr>
          <w:lang w:val="sr-Cyrl-CS"/>
        </w:rPr>
        <w:t xml:space="preserve"> здравственим системом</w:t>
      </w:r>
      <w:bookmarkEnd w:id="1"/>
    </w:p>
    <w:p w:rsidR="00BD1DFF" w:rsidRDefault="003906D0" w:rsidP="00BD1DFF">
      <w:pPr>
        <w:rPr>
          <w:rFonts w:cs="Arial"/>
        </w:rPr>
      </w:pPr>
      <w:r w:rsidRPr="003906D0">
        <w:rPr>
          <w:rFonts w:cs="Arial"/>
        </w:rPr>
        <w:t xml:space="preserve">На данашњем веома компликованом, технолошком и конкурентном тржишту  здравствене </w:t>
      </w:r>
      <w:r w:rsidR="00C54819">
        <w:rPr>
          <w:rFonts w:cs="Arial"/>
        </w:rPr>
        <w:t>неге</w:t>
      </w:r>
      <w:r w:rsidRPr="003906D0">
        <w:rPr>
          <w:rFonts w:cs="Arial"/>
        </w:rPr>
        <w:t xml:space="preserve">, јавни захтев за администраторе, </w:t>
      </w:r>
      <w:r w:rsidR="00BD1DFF">
        <w:rPr>
          <w:rFonts w:cs="Arial"/>
        </w:rPr>
        <w:t>л</w:t>
      </w:r>
      <w:r w:rsidRPr="003906D0">
        <w:rPr>
          <w:rFonts w:cs="Arial"/>
        </w:rPr>
        <w:t xml:space="preserve">екаре и друге здравствене раднике је да пруже висок квалитет </w:t>
      </w:r>
      <w:r w:rsidR="00BD1DFF">
        <w:rPr>
          <w:rFonts w:cs="Arial"/>
        </w:rPr>
        <w:t>н</w:t>
      </w:r>
      <w:r w:rsidRPr="003906D0">
        <w:rPr>
          <w:rFonts w:cs="Arial"/>
        </w:rPr>
        <w:t>еге по нижој цени. Менаџери у здравству морају стога пронаћи начине да добију одличне резултате из више ограничених ресурса. Циљ ов</w:t>
      </w:r>
      <w:r w:rsidR="00E94580">
        <w:rPr>
          <w:rFonts w:cs="Arial"/>
          <w:lang/>
        </w:rPr>
        <w:t>их предавања</w:t>
      </w:r>
      <w:r w:rsidRPr="003906D0">
        <w:rPr>
          <w:rFonts w:cs="Arial"/>
        </w:rPr>
        <w:t xml:space="preserve"> је да се менаџери у здравству упознају са оперативним истраживачким моделима који омогућавају доносиоцима одлука да реше сложена питања и да што боље искористе расположиве ресурсе. Такви модели се користе, на </w:t>
      </w:r>
      <w:r w:rsidR="00E362BD">
        <w:rPr>
          <w:rFonts w:cs="Arial"/>
        </w:rPr>
        <w:t>пример</w:t>
      </w:r>
      <w:r w:rsidRPr="003906D0">
        <w:rPr>
          <w:rFonts w:cs="Arial"/>
        </w:rPr>
        <w:t>, за предвиђање потреба пацијената и за доношење одлука о трошењу капитала и капацитета, планирању установа, распореду особља и пацијента, ланцу снабдевања и контроли квалитета.</w:t>
      </w:r>
    </w:p>
    <w:p w:rsidR="003906D0" w:rsidRPr="003906D0" w:rsidRDefault="00E362BD" w:rsidP="00E362BD">
      <w:pPr>
        <w:spacing w:before="0"/>
        <w:rPr>
          <w:rFonts w:cs="Arial"/>
        </w:rPr>
      </w:pPr>
      <w:r>
        <w:rPr>
          <w:rFonts w:cs="Arial"/>
          <w:lang/>
        </w:rPr>
        <w:tab/>
      </w:r>
      <w:r w:rsidR="003906D0" w:rsidRPr="003906D0">
        <w:rPr>
          <w:rFonts w:cs="Arial"/>
        </w:rPr>
        <w:t>Користе се математичке и статистичке технике: мултиваријантна статистичка анализа, анализа одлука, линеарно програмирање, евалуација пројекта и техника прегледа (</w:t>
      </w:r>
      <w:r w:rsidR="006A1CCE">
        <w:rPr>
          <w:rFonts w:cs="Arial"/>
        </w:rPr>
        <w:t>PERT</w:t>
      </w:r>
      <w:r w:rsidR="003906D0" w:rsidRPr="003906D0">
        <w:rPr>
          <w:rFonts w:cs="Arial"/>
        </w:rPr>
        <w:t>), анализа чекања и симулација. Ов</w:t>
      </w:r>
      <w:r w:rsidR="006A5C27">
        <w:rPr>
          <w:rFonts w:cs="Arial"/>
          <w:lang/>
        </w:rPr>
        <w:t>ај</w:t>
      </w:r>
      <w:r w:rsidR="003906D0" w:rsidRPr="003906D0">
        <w:rPr>
          <w:rFonts w:cs="Arial"/>
        </w:rPr>
        <w:t xml:space="preserve"> </w:t>
      </w:r>
      <w:r w:rsidR="006A5C27">
        <w:rPr>
          <w:rFonts w:cs="Arial"/>
          <w:lang/>
        </w:rPr>
        <w:t>део</w:t>
      </w:r>
      <w:r w:rsidR="003906D0" w:rsidRPr="003906D0">
        <w:rPr>
          <w:rFonts w:cs="Arial"/>
        </w:rPr>
        <w:t xml:space="preserve"> представља </w:t>
      </w:r>
      <w:r w:rsidR="006A5C27">
        <w:rPr>
          <w:rFonts w:cs="Arial"/>
          <w:lang/>
        </w:rPr>
        <w:t>неке од ових</w:t>
      </w:r>
      <w:r w:rsidR="003906D0" w:rsidRPr="003906D0">
        <w:rPr>
          <w:rFonts w:cs="Arial"/>
        </w:rPr>
        <w:t xml:space="preserve"> техник</w:t>
      </w:r>
      <w:r w:rsidR="006A5C27">
        <w:rPr>
          <w:rFonts w:cs="Arial"/>
          <w:lang/>
        </w:rPr>
        <w:t>а</w:t>
      </w:r>
      <w:r w:rsidR="003906D0" w:rsidRPr="003906D0">
        <w:rPr>
          <w:rFonts w:cs="Arial"/>
        </w:rPr>
        <w:t xml:space="preserve"> са аспекта пружања бриге у здравственим установама, а не </w:t>
      </w:r>
      <w:r w:rsidR="00D005B6">
        <w:rPr>
          <w:rFonts w:cs="Arial"/>
          <w:lang/>
        </w:rPr>
        <w:t xml:space="preserve">у </w:t>
      </w:r>
      <w:r w:rsidR="003906D0" w:rsidRPr="003906D0">
        <w:rPr>
          <w:rFonts w:cs="Arial"/>
        </w:rPr>
        <w:t>њиховим традиционалним применама. Ов</w:t>
      </w:r>
      <w:r w:rsidR="0031275B">
        <w:rPr>
          <w:rFonts w:cs="Arial"/>
          <w:lang/>
        </w:rPr>
        <w:t>ај део</w:t>
      </w:r>
      <w:r w:rsidR="003906D0" w:rsidRPr="003906D0">
        <w:rPr>
          <w:rFonts w:cs="Arial"/>
        </w:rPr>
        <w:t xml:space="preserve"> обухвата кратку историјску позадину и развој техника одлучивања и објашњава важност менаџера здравствене заштите који користе ове технике. Коначно, наглашени су обим, типичне карактеристике и актуелни трендови здравствених услуга.</w:t>
      </w:r>
    </w:p>
    <w:p w:rsidR="003906D0" w:rsidRPr="003906D0" w:rsidRDefault="001A7F66" w:rsidP="00E362BD">
      <w:pPr>
        <w:spacing w:before="0"/>
        <w:rPr>
          <w:rFonts w:cs="Arial"/>
        </w:rPr>
      </w:pPr>
      <w:r>
        <w:rPr>
          <w:rFonts w:cs="Arial"/>
          <w:lang/>
        </w:rPr>
        <w:tab/>
      </w:r>
      <w:r w:rsidR="003906D0" w:rsidRPr="003906D0">
        <w:rPr>
          <w:rFonts w:cs="Arial"/>
        </w:rPr>
        <w:t>Након што прочитате ово по</w:t>
      </w:r>
      <w:r w:rsidR="005E60DD">
        <w:rPr>
          <w:rFonts w:cs="Arial"/>
        </w:rPr>
        <w:t xml:space="preserve">главље, неопходно је прочитати </w:t>
      </w:r>
      <w:r w:rsidR="005E60DD">
        <w:rPr>
          <w:rFonts w:cs="Arial"/>
          <w:lang/>
        </w:rPr>
        <w:t>и део к</w:t>
      </w:r>
      <w:r w:rsidR="003906D0" w:rsidRPr="003906D0">
        <w:rPr>
          <w:rFonts w:cs="Arial"/>
        </w:rPr>
        <w:t>вантитативн</w:t>
      </w:r>
      <w:r w:rsidR="005E60DD">
        <w:rPr>
          <w:rFonts w:cs="Arial"/>
          <w:lang/>
        </w:rPr>
        <w:t>р</w:t>
      </w:r>
      <w:r w:rsidR="003906D0" w:rsidRPr="003906D0">
        <w:rPr>
          <w:rFonts w:cs="Arial"/>
        </w:rPr>
        <w:t xml:space="preserve"> метод</w:t>
      </w:r>
      <w:r w:rsidR="005E60DD">
        <w:rPr>
          <w:rFonts w:cs="Arial"/>
          <w:lang/>
        </w:rPr>
        <w:t>е</w:t>
      </w:r>
      <w:r w:rsidR="003906D0" w:rsidRPr="003906D0">
        <w:rPr>
          <w:rFonts w:cs="Arial"/>
        </w:rPr>
        <w:t xml:space="preserve"> за доношење одлука у управљању здравственим услугама. Неопходно је поседовати реално знање о томе колико су важне квантитативне технике за одлуке о пружању здравствене заштите високог квалитета. </w:t>
      </w:r>
    </w:p>
    <w:p w:rsidR="00BD1DFF" w:rsidRDefault="003906D0" w:rsidP="00BD1DFF">
      <w:pPr>
        <w:pStyle w:val="Heading2"/>
      </w:pPr>
      <w:bookmarkStart w:id="2" w:name="_Toc530936615"/>
      <w:r w:rsidRPr="003906D0">
        <w:t>Историјска основа и развој техника одлучивања</w:t>
      </w:r>
      <w:bookmarkEnd w:id="2"/>
    </w:p>
    <w:p w:rsidR="00BD1DFF" w:rsidRDefault="003906D0" w:rsidP="003906D0">
      <w:pPr>
        <w:rPr>
          <w:rFonts w:cs="Arial"/>
        </w:rPr>
      </w:pPr>
      <w:r w:rsidRPr="003906D0">
        <w:rPr>
          <w:rFonts w:cs="Arial"/>
        </w:rPr>
        <w:t xml:space="preserve">Почевши од 1880-их година, управљање формулисано у науци је довело до великих </w:t>
      </w:r>
      <w:r w:rsidR="006B0132">
        <w:rPr>
          <w:rFonts w:cs="Arial"/>
        </w:rPr>
        <w:t xml:space="preserve">промена </w:t>
      </w:r>
      <w:r w:rsidRPr="003906D0">
        <w:rPr>
          <w:rFonts w:cs="Arial"/>
        </w:rPr>
        <w:t xml:space="preserve">у управљању фабрикама које су створене </w:t>
      </w:r>
      <w:r w:rsidR="00B63CC3">
        <w:rPr>
          <w:rFonts w:cs="Arial"/>
          <w:lang/>
        </w:rPr>
        <w:t>великом</w:t>
      </w:r>
      <w:r w:rsidRPr="003906D0">
        <w:rPr>
          <w:rFonts w:cs="Arial"/>
        </w:rPr>
        <w:t xml:space="preserve"> брзином током индустријске револуције. Токове је предводио инжењер ефикасности и проналазач, </w:t>
      </w:r>
      <w:r w:rsidR="00122A2F" w:rsidRPr="003906D0">
        <w:rPr>
          <w:rFonts w:cs="Arial"/>
        </w:rPr>
        <w:t>Frederik Vinslou Tejlor</w:t>
      </w:r>
      <w:r w:rsidRPr="003906D0">
        <w:rPr>
          <w:rFonts w:cs="Arial"/>
        </w:rPr>
        <w:t xml:space="preserve">, који се сматра оцем модерног научног менаџмента. Тејлор је предложио "науку управљања" на основу посматрања, мерења, анализе и побољшање метода рада, заједно са економским подстицајем. Такође је вјеровао да су задаци руководилаца да планирају, пажљиво одабирају и обучавају раднике, проналазе најбољи начин обављања сваког посла, остварују сарадњу између менаџмента и радника и одвоје активности менаџмента од радних активности. </w:t>
      </w:r>
      <w:r w:rsidR="00BD1DFF">
        <w:rPr>
          <w:rFonts w:cs="Arial"/>
        </w:rPr>
        <w:tab/>
      </w:r>
    </w:p>
    <w:p w:rsidR="003906D0" w:rsidRPr="003906D0" w:rsidRDefault="00142C90" w:rsidP="00142C90">
      <w:pPr>
        <w:spacing w:before="0"/>
        <w:rPr>
          <w:rFonts w:cs="Arial"/>
        </w:rPr>
      </w:pPr>
      <w:r>
        <w:rPr>
          <w:rFonts w:cs="Arial"/>
          <w:lang/>
        </w:rPr>
        <w:tab/>
      </w:r>
      <w:r w:rsidR="003906D0" w:rsidRPr="003906D0">
        <w:rPr>
          <w:rFonts w:cs="Arial"/>
        </w:rPr>
        <w:t>Тејлоров рад заснован је на његовој идеји да су сукоби између радника и менаџмента настали јер менаџмент нема представу колико времена</w:t>
      </w:r>
      <w:r w:rsidR="007F6D45">
        <w:rPr>
          <w:rFonts w:cs="Arial"/>
          <w:lang/>
        </w:rPr>
        <w:t xml:space="preserve"> треба да се заврши посао</w:t>
      </w:r>
      <w:r w:rsidR="003906D0" w:rsidRPr="003906D0">
        <w:rPr>
          <w:rFonts w:cs="Arial"/>
        </w:rPr>
        <w:t>. Зато се усредсредио на временске студије у којима су детаљно процењиване методе рада како би се пронашао најбољи начин за обављање сваког посла.</w:t>
      </w:r>
      <w:r w:rsidR="00BD1DFF">
        <w:rPr>
          <w:rFonts w:cs="Arial"/>
        </w:rPr>
        <w:t xml:space="preserve"> </w:t>
      </w:r>
      <w:r w:rsidR="003906D0" w:rsidRPr="003906D0">
        <w:rPr>
          <w:rFonts w:cs="Arial"/>
        </w:rPr>
        <w:t>Тејлорова класична књига из 1911. године,  „</w:t>
      </w:r>
      <w:r w:rsidR="007110AE" w:rsidRPr="007110AE">
        <w:rPr>
          <w:rFonts w:cs="Arial"/>
        </w:rPr>
        <w:t>The Principles of Scientific Management</w:t>
      </w:r>
      <w:r w:rsidR="003906D0" w:rsidRPr="003906D0">
        <w:rPr>
          <w:rFonts w:cs="Arial"/>
        </w:rPr>
        <w:t>“, објаснила су ова главна начела:</w:t>
      </w:r>
    </w:p>
    <w:p w:rsidR="003906D0" w:rsidRPr="00BD1DFF" w:rsidRDefault="003906D0" w:rsidP="00BD1DFF">
      <w:pPr>
        <w:pStyle w:val="ListParagraph"/>
        <w:numPr>
          <w:ilvl w:val="0"/>
          <w:numId w:val="38"/>
        </w:numPr>
      </w:pPr>
      <w:r w:rsidRPr="00BD1DFF">
        <w:lastRenderedPageBreak/>
        <w:t xml:space="preserve">развој науке за сваки елемент рада; </w:t>
      </w:r>
    </w:p>
    <w:p w:rsidR="003906D0" w:rsidRPr="00BD1DFF" w:rsidRDefault="003906D0" w:rsidP="00BD1DFF">
      <w:pPr>
        <w:pStyle w:val="ListParagraph"/>
        <w:numPr>
          <w:ilvl w:val="0"/>
          <w:numId w:val="38"/>
        </w:numPr>
      </w:pPr>
      <w:r w:rsidRPr="00BD1DFF">
        <w:t xml:space="preserve">научна селекција и обука радника; </w:t>
      </w:r>
    </w:p>
    <w:p w:rsidR="003906D0" w:rsidRPr="00BD1DFF" w:rsidRDefault="003906D0" w:rsidP="00BD1DFF">
      <w:pPr>
        <w:pStyle w:val="ListParagraph"/>
        <w:numPr>
          <w:ilvl w:val="0"/>
          <w:numId w:val="38"/>
        </w:numPr>
      </w:pPr>
      <w:r w:rsidRPr="00BD1DFF">
        <w:t>сарадња између руководства и запослених; и</w:t>
      </w:r>
    </w:p>
    <w:p w:rsidR="003906D0" w:rsidRPr="00BD1DFF" w:rsidRDefault="003906D0" w:rsidP="00BD1DFF">
      <w:pPr>
        <w:pStyle w:val="ListParagraph"/>
        <w:numPr>
          <w:ilvl w:val="0"/>
          <w:numId w:val="38"/>
        </w:numPr>
      </w:pPr>
      <w:r w:rsidRPr="00BD1DFF">
        <w:t>одговорност једнако подељена између радника и менаџмента (</w:t>
      </w:r>
      <w:r w:rsidR="000959FB" w:rsidRPr="000959FB">
        <w:t>Taylor,</w:t>
      </w:r>
      <w:r w:rsidRPr="00BD1DFF">
        <w:t xml:space="preserve">, 1911). </w:t>
      </w:r>
    </w:p>
    <w:p w:rsidR="003906D0" w:rsidRPr="003906D0" w:rsidRDefault="007110AE" w:rsidP="003906D0">
      <w:pPr>
        <w:rPr>
          <w:rFonts w:cs="Arial"/>
        </w:rPr>
      </w:pPr>
      <w:r>
        <w:rPr>
          <w:rFonts w:cs="Arial"/>
          <w:lang/>
        </w:rPr>
        <w:tab/>
      </w:r>
      <w:r w:rsidR="003906D0" w:rsidRPr="003906D0">
        <w:rPr>
          <w:rFonts w:cs="Arial"/>
        </w:rPr>
        <w:t xml:space="preserve">Други рани истраживачи научних метода менаџмента били су </w:t>
      </w:r>
      <w:r w:rsidR="00EE0643" w:rsidRPr="00EE0643">
        <w:rPr>
          <w:rFonts w:cs="Arial"/>
        </w:rPr>
        <w:t xml:space="preserve">Frank </w:t>
      </w:r>
      <w:r w:rsidR="00EE0643">
        <w:rPr>
          <w:rFonts w:cs="Arial"/>
          <w:lang/>
        </w:rPr>
        <w:t>и</w:t>
      </w:r>
      <w:r w:rsidR="00EE0643" w:rsidRPr="00EE0643">
        <w:rPr>
          <w:rFonts w:cs="Arial"/>
        </w:rPr>
        <w:t xml:space="preserve"> Gillian Gilbreth</w:t>
      </w:r>
      <w:r w:rsidR="003906D0" w:rsidRPr="003906D0">
        <w:rPr>
          <w:rFonts w:cs="Arial"/>
        </w:rPr>
        <w:t xml:space="preserve">, који су радили на стандардизацији, </w:t>
      </w:r>
      <w:r w:rsidR="00691B1D">
        <w:rPr>
          <w:rFonts w:cs="Arial"/>
          <w:lang/>
        </w:rPr>
        <w:t>и</w:t>
      </w:r>
      <w:r w:rsidR="003906D0" w:rsidRPr="003906D0">
        <w:rPr>
          <w:rFonts w:cs="Arial"/>
        </w:rPr>
        <w:t xml:space="preserve"> </w:t>
      </w:r>
      <w:r w:rsidR="00691B1D" w:rsidRPr="00691B1D">
        <w:rPr>
          <w:rFonts w:cs="Arial"/>
        </w:rPr>
        <w:t>Henry Gantt</w:t>
      </w:r>
      <w:r w:rsidR="003906D0" w:rsidRPr="003906D0">
        <w:rPr>
          <w:rFonts w:cs="Arial"/>
        </w:rPr>
        <w:t xml:space="preserve">, који је нагласио психолошке ефекте које </w:t>
      </w:r>
      <w:r w:rsidR="00206467">
        <w:rPr>
          <w:rFonts w:cs="Arial"/>
        </w:rPr>
        <w:t>радни услови имају на запослене</w:t>
      </w:r>
      <w:r w:rsidR="00206467">
        <w:rPr>
          <w:rFonts w:cs="Arial"/>
          <w:lang/>
        </w:rPr>
        <w:t xml:space="preserve"> -</w:t>
      </w:r>
      <w:r w:rsidR="003906D0" w:rsidRPr="003906D0">
        <w:rPr>
          <w:rFonts w:cs="Arial"/>
        </w:rPr>
        <w:t xml:space="preserve"> развио је временску базу података за распоред рада. Квантитативно управљање залихама је развио </w:t>
      </w:r>
      <w:r w:rsidR="00204DE4" w:rsidRPr="00204DE4">
        <w:rPr>
          <w:rFonts w:cs="Arial"/>
        </w:rPr>
        <w:t xml:space="preserve">F. W. Harris </w:t>
      </w:r>
      <w:r w:rsidR="003906D0" w:rsidRPr="003906D0">
        <w:rPr>
          <w:rFonts w:cs="Arial"/>
        </w:rPr>
        <w:t xml:space="preserve">1915. године. У 1930-им </w:t>
      </w:r>
      <w:r w:rsidR="00AA75B7" w:rsidRPr="00AA75B7">
        <w:rPr>
          <w:rFonts w:cs="Arial"/>
        </w:rPr>
        <w:t xml:space="preserve">W. Shewhart </w:t>
      </w:r>
      <w:r w:rsidR="003906D0" w:rsidRPr="003906D0">
        <w:rPr>
          <w:rFonts w:cs="Arial"/>
        </w:rPr>
        <w:t>и сарадници су развили технике статистичког узорковања и  контролу квалитета (</w:t>
      </w:r>
      <w:r w:rsidR="00692DBE" w:rsidRPr="00692DBE">
        <w:rPr>
          <w:rFonts w:cs="Arial"/>
        </w:rPr>
        <w:t>Stevenson,</w:t>
      </w:r>
      <w:r w:rsidR="003906D0" w:rsidRPr="003906D0">
        <w:rPr>
          <w:rFonts w:cs="Arial"/>
        </w:rPr>
        <w:t>, 2002.,стр. 23). Други светски рат подстакао је раст оперативних истраживачких метода и развој техника управљања пројектима; линеарно програмирање и методе чекања слиједе 1950-их. Након 1970-их, развој и шира употреба рачунара и информационих система за управљање (</w:t>
      </w:r>
      <w:r w:rsidR="00AB3FCC">
        <w:rPr>
          <w:rFonts w:cs="Arial"/>
        </w:rPr>
        <w:t>MIS</w:t>
      </w:r>
      <w:r w:rsidR="003906D0" w:rsidRPr="003906D0">
        <w:rPr>
          <w:rFonts w:cs="Arial"/>
        </w:rPr>
        <w:t>) су преобликовали све ове технике, с обзиром на то да се велике количине података могу анализирати за доношење одлука у организацијама. Такви алати за побољшање квалитета као што су тотално управљање квалитетом (</w:t>
      </w:r>
      <w:r w:rsidR="00AB3FCC">
        <w:rPr>
          <w:rFonts w:cs="Arial"/>
        </w:rPr>
        <w:t>TQM</w:t>
      </w:r>
      <w:r w:rsidR="003906D0" w:rsidRPr="003906D0">
        <w:rPr>
          <w:rFonts w:cs="Arial"/>
        </w:rPr>
        <w:t>) и континуирано побољшање квалитета (</w:t>
      </w:r>
      <w:r w:rsidR="00AB3FCC">
        <w:rPr>
          <w:rFonts w:cs="Arial"/>
        </w:rPr>
        <w:t>CQI</w:t>
      </w:r>
      <w:r w:rsidR="003906D0" w:rsidRPr="003906D0">
        <w:rPr>
          <w:rFonts w:cs="Arial"/>
        </w:rPr>
        <w:t xml:space="preserve">) постали су веома популарни у осамдесетим и деведесетим годинама; затим су на ред дошли менаџмент ланца снабдевања и технике побољшања продуктивности, посебно реинжењеринга. </w:t>
      </w:r>
    </w:p>
    <w:p w:rsidR="003906D0" w:rsidRPr="003906D0" w:rsidRDefault="003906D0" w:rsidP="00BD1DFF">
      <w:pPr>
        <w:pStyle w:val="Heading2"/>
      </w:pPr>
      <w:bookmarkStart w:id="3" w:name="_Toc530936616"/>
      <w:r w:rsidRPr="003906D0">
        <w:t>Менаџер у здравству и доношење одлука:</w:t>
      </w:r>
      <w:bookmarkEnd w:id="3"/>
    </w:p>
    <w:p w:rsidR="003906D0" w:rsidRPr="003906D0" w:rsidRDefault="003906D0" w:rsidP="003906D0">
      <w:pPr>
        <w:rPr>
          <w:rFonts w:cs="Arial"/>
        </w:rPr>
      </w:pPr>
      <w:r w:rsidRPr="003906D0">
        <w:rPr>
          <w:rFonts w:cs="Arial"/>
        </w:rPr>
        <w:t>Менаџер у здравству може бити главни извршни директор (извршни директор</w:t>
      </w:r>
      <w:r w:rsidR="004262B9">
        <w:rPr>
          <w:rFonts w:cs="Arial"/>
          <w:lang/>
        </w:rPr>
        <w:t xml:space="preserve">, </w:t>
      </w:r>
      <w:r w:rsidR="004262B9">
        <w:rPr>
          <w:rFonts w:cs="Arial"/>
          <w:lang/>
        </w:rPr>
        <w:t>CEO</w:t>
      </w:r>
      <w:r w:rsidRPr="003906D0">
        <w:rPr>
          <w:rFonts w:cs="Arial"/>
        </w:rPr>
        <w:t>) или главни оперативни службеник (</w:t>
      </w:r>
      <w:r w:rsidR="004262B9">
        <w:rPr>
          <w:rFonts w:cs="Arial"/>
        </w:rPr>
        <w:t>COO</w:t>
      </w:r>
      <w:r w:rsidRPr="003906D0">
        <w:rPr>
          <w:rFonts w:cs="Arial"/>
        </w:rPr>
        <w:t>), или руководилац средњег нивоа на кога су делегиране надлежности.</w:t>
      </w:r>
    </w:p>
    <w:p w:rsidR="003906D0" w:rsidRPr="003906D0" w:rsidRDefault="00FF402E" w:rsidP="00FF402E">
      <w:pPr>
        <w:spacing w:before="0"/>
        <w:rPr>
          <w:rFonts w:cs="Arial"/>
        </w:rPr>
      </w:pPr>
      <w:r>
        <w:rPr>
          <w:rFonts w:cs="Arial"/>
          <w:lang/>
        </w:rPr>
        <w:tab/>
      </w:r>
      <w:r w:rsidR="003906D0" w:rsidRPr="003906D0">
        <w:rPr>
          <w:rFonts w:cs="Arial"/>
        </w:rPr>
        <w:t xml:space="preserve">На највишем нивоу управљања, надлежни менаџер у здравству укључује се у планирање капацитета, локације, услуга које ће бити понуђене и распореда објекта; </w:t>
      </w:r>
      <w:r w:rsidR="00F276BA">
        <w:rPr>
          <w:rFonts w:cs="Arial"/>
          <w:lang/>
        </w:rPr>
        <w:t xml:space="preserve">и </w:t>
      </w:r>
      <w:r w:rsidR="003906D0" w:rsidRPr="003906D0">
        <w:rPr>
          <w:rFonts w:cs="Arial"/>
        </w:rPr>
        <w:t>те одговорности су стратешке. Менаџер у здравству такође је на крају одговоран за надгледање пружања услуга кроз управљање ланцем снабдевања, праћење и побољшање квалитета, као и организовање здравствених услуга које ће се производити или пружати. Коначно, менаџер у здравству је одговоран за распоређивање пацијената и особља, као и за оптимално искориштавање објекта и усмеравање радних задатака и радних налога. Без обзира да ли је менаџер у здравству директно укључен или делегира ове одговорности, његова или њена крајња одговорност остаје. Уопштено, оперативне одлуке се преносе на доносиоце одлука средњих и нижих нивоа, док се стратешке одлуке оцјењују на највишим нивоима организације. Са покретањем интегрисаних система испоруке (</w:t>
      </w:r>
      <w:r w:rsidR="00336AF2">
        <w:rPr>
          <w:rFonts w:cs="Arial"/>
        </w:rPr>
        <w:t>IDS</w:t>
      </w:r>
      <w:r w:rsidR="003906D0" w:rsidRPr="003906D0">
        <w:rPr>
          <w:rFonts w:cs="Arial"/>
        </w:rPr>
        <w:t>), организације за здравствену заштиту постају све веће и сложеније, тако да менаџери у здравству имају потребу за најновијим, поузданим информацијама из квантитативне анализе података како би доносили информисане одлуке. Информациона технологија (</w:t>
      </w:r>
      <w:r w:rsidR="00336AF2">
        <w:rPr>
          <w:rFonts w:cs="Arial"/>
        </w:rPr>
        <w:t>IT</w:t>
      </w:r>
      <w:r w:rsidR="003906D0" w:rsidRPr="003906D0">
        <w:rPr>
          <w:rFonts w:cs="Arial"/>
        </w:rPr>
        <w:t xml:space="preserve">) постала је саставни део процеса управљања одлукама. </w:t>
      </w:r>
    </w:p>
    <w:p w:rsidR="003906D0" w:rsidRPr="00BD1DFF" w:rsidRDefault="003906D0" w:rsidP="00FD7A6C">
      <w:pPr>
        <w:pStyle w:val="Heading2"/>
        <w:jc w:val="both"/>
      </w:pPr>
      <w:bookmarkStart w:id="4" w:name="_Toc530936617"/>
      <w:r w:rsidRPr="003906D0">
        <w:t>Информационе технологије (ИТ) и менаџмент здравствене заштите</w:t>
      </w:r>
      <w:bookmarkEnd w:id="4"/>
    </w:p>
    <w:p w:rsidR="003906D0" w:rsidRPr="003906D0" w:rsidRDefault="003906D0" w:rsidP="003906D0">
      <w:pPr>
        <w:rPr>
          <w:rFonts w:cs="Arial"/>
        </w:rPr>
      </w:pPr>
      <w:r w:rsidRPr="003906D0">
        <w:rPr>
          <w:rFonts w:cs="Arial"/>
        </w:rPr>
        <w:t xml:space="preserve">Ако је потребно анализирати тренутно стање и направити одговарајуће промене како би се побољшала ефикасност, као и квалитет здравствене </w:t>
      </w:r>
      <w:r w:rsidR="00C54819">
        <w:rPr>
          <w:rFonts w:cs="Arial"/>
        </w:rPr>
        <w:t>неге</w:t>
      </w:r>
      <w:r w:rsidRPr="003906D0">
        <w:rPr>
          <w:rFonts w:cs="Arial"/>
        </w:rPr>
        <w:t xml:space="preserve">, руководиоцима у здравству су потребни одговарајући подаци. Подаци из различитих извора се прикупљају помоћу информационих технологија уграђених у системе који: су интерни у здравственој организацији, или екстерни. На </w:t>
      </w:r>
      <w:r w:rsidR="00E362BD">
        <w:rPr>
          <w:rFonts w:cs="Arial"/>
        </w:rPr>
        <w:t>пример</w:t>
      </w:r>
      <w:r w:rsidRPr="003906D0">
        <w:rPr>
          <w:rFonts w:cs="Arial"/>
        </w:rPr>
        <w:t xml:space="preserve">, одлуке о локацији новог здравственог објекта захтевају анализу података о </w:t>
      </w:r>
      <w:r w:rsidR="00252639">
        <w:rPr>
          <w:rFonts w:cs="Arial"/>
          <w:lang/>
        </w:rPr>
        <w:t>општинама</w:t>
      </w:r>
      <w:r w:rsidRPr="003906D0">
        <w:rPr>
          <w:rFonts w:cs="Arial"/>
        </w:rPr>
        <w:t xml:space="preserve"> које се разматрају (као што су попис, епидемиолошки подаци и тако даље). Одлуке о медицинск</w:t>
      </w:r>
      <w:r w:rsidR="00353E25">
        <w:rPr>
          <w:rFonts w:cs="Arial"/>
          <w:lang/>
        </w:rPr>
        <w:t>им</w:t>
      </w:r>
      <w:r w:rsidRPr="003906D0">
        <w:rPr>
          <w:rFonts w:cs="Arial"/>
        </w:rPr>
        <w:t xml:space="preserve"> сестр</w:t>
      </w:r>
      <w:r w:rsidR="00353E25">
        <w:rPr>
          <w:rFonts w:cs="Arial"/>
          <w:lang/>
        </w:rPr>
        <w:t>ама</w:t>
      </w:r>
      <w:r w:rsidRPr="003906D0">
        <w:rPr>
          <w:rFonts w:cs="Arial"/>
        </w:rPr>
        <w:t xml:space="preserve"> ће захтијевати интерне податке о пријему пацијента и детаљима кој</w:t>
      </w:r>
      <w:r w:rsidR="00353E25">
        <w:rPr>
          <w:rFonts w:cs="Arial"/>
        </w:rPr>
        <w:t>е рутински прикупља болница. Ов</w:t>
      </w:r>
      <w:r w:rsidR="00353E25">
        <w:rPr>
          <w:rFonts w:cs="Arial"/>
          <w:lang/>
        </w:rPr>
        <w:t>ај део</w:t>
      </w:r>
      <w:r w:rsidRPr="003906D0">
        <w:rPr>
          <w:rFonts w:cs="Arial"/>
        </w:rPr>
        <w:t xml:space="preserve"> идентификује изворе података за различите алате за доношење одлука и наглашава употребу ИТ-а за </w:t>
      </w:r>
      <w:r w:rsidR="00AA2D03">
        <w:rPr>
          <w:rFonts w:cs="Arial"/>
          <w:lang/>
        </w:rPr>
        <w:t xml:space="preserve">квалитетно </w:t>
      </w:r>
      <w:r w:rsidRPr="003906D0">
        <w:rPr>
          <w:rFonts w:cs="Arial"/>
        </w:rPr>
        <w:t xml:space="preserve"> доношење одлука од стране менаџера у здравству.</w:t>
      </w:r>
    </w:p>
    <w:p w:rsidR="003906D0" w:rsidRPr="003906D0" w:rsidRDefault="003906D0" w:rsidP="00BD1DFF">
      <w:pPr>
        <w:pStyle w:val="Heading2"/>
      </w:pPr>
      <w:bookmarkStart w:id="5" w:name="_Toc530936618"/>
      <w:r w:rsidRPr="003906D0">
        <w:t>Опсег услуга здравствене заштите и најновији трендови</w:t>
      </w:r>
      <w:bookmarkEnd w:id="5"/>
    </w:p>
    <w:p w:rsidR="00270185" w:rsidRDefault="003906D0" w:rsidP="003906D0">
      <w:pPr>
        <w:rPr>
          <w:rFonts w:cs="Arial"/>
          <w:lang/>
        </w:rPr>
      </w:pPr>
      <w:r w:rsidRPr="003906D0">
        <w:rPr>
          <w:rFonts w:cs="Arial"/>
        </w:rPr>
        <w:t>Према земљама Организације за економску сарадњу и развој (</w:t>
      </w:r>
      <w:r w:rsidR="00B64EED">
        <w:rPr>
          <w:rFonts w:cs="Arial"/>
        </w:rPr>
        <w:t>OECD</w:t>
      </w:r>
      <w:r w:rsidRPr="003906D0">
        <w:rPr>
          <w:rFonts w:cs="Arial"/>
        </w:rPr>
        <w:t>), укупни издаци за здравствене услуге чланова чинили су од 5,7 до 14,6 одсто бруто домаћег производа (</w:t>
      </w:r>
      <w:r w:rsidR="00F946AF">
        <w:rPr>
          <w:rFonts w:cs="Arial"/>
        </w:rPr>
        <w:t>GDP</w:t>
      </w:r>
      <w:r w:rsidRPr="003906D0">
        <w:rPr>
          <w:rFonts w:cs="Arial"/>
        </w:rPr>
        <w:t xml:space="preserve">) у 2002. години, чинећи то веома значајним сектором из перспективе јавне политике. Штавише, статистички подаци из </w:t>
      </w:r>
      <w:r w:rsidR="00E20195">
        <w:rPr>
          <w:rFonts w:cs="Arial"/>
          <w:lang/>
        </w:rPr>
        <w:t>т</w:t>
      </w:r>
      <w:r w:rsidRPr="003906D0">
        <w:rPr>
          <w:rFonts w:cs="Arial"/>
        </w:rPr>
        <w:t xml:space="preserve">абеле 1 показују растући тренд издатака за здравствену заштиту. </w:t>
      </w:r>
    </w:p>
    <w:p w:rsidR="00270185" w:rsidRPr="003906D0" w:rsidRDefault="00270185" w:rsidP="00270185">
      <w:pPr>
        <w:autoSpaceDE w:val="0"/>
        <w:autoSpaceDN w:val="0"/>
        <w:adjustRightInd w:val="0"/>
        <w:spacing w:after="120"/>
        <w:jc w:val="center"/>
        <w:rPr>
          <w:rFonts w:cs="Arial"/>
          <w:bCs/>
        </w:rPr>
      </w:pPr>
      <w:r w:rsidRPr="003906D0">
        <w:rPr>
          <w:rFonts w:cs="Arial"/>
          <w:bCs/>
        </w:rPr>
        <w:lastRenderedPageBreak/>
        <w:t>ТАБЕЛА 1  УКУПНИ ТРОШКОВИ ЗА ЗДРАВСТВО КАО %  БДП  У 30  ЗЕМАЉА ОЕЦД</w:t>
      </w:r>
    </w:p>
    <w:tbl>
      <w:tblPr>
        <w:tblStyle w:val="TableGrid"/>
        <w:tblW w:w="6704" w:type="dxa"/>
        <w:jc w:val="center"/>
        <w:tblLook w:val="04A0"/>
      </w:tblPr>
      <w:tblGrid>
        <w:gridCol w:w="1204"/>
        <w:gridCol w:w="661"/>
        <w:gridCol w:w="664"/>
        <w:gridCol w:w="703"/>
        <w:gridCol w:w="703"/>
        <w:gridCol w:w="702"/>
        <w:gridCol w:w="703"/>
        <w:gridCol w:w="703"/>
        <w:gridCol w:w="661"/>
      </w:tblGrid>
      <w:tr w:rsidR="00270185" w:rsidRPr="003906D0" w:rsidTr="00770576">
        <w:trPr>
          <w:jc w:val="center"/>
        </w:trPr>
        <w:tc>
          <w:tcPr>
            <w:tcW w:w="1211" w:type="dxa"/>
          </w:tcPr>
          <w:p w:rsidR="00270185" w:rsidRPr="003906D0" w:rsidRDefault="00270185" w:rsidP="00770576">
            <w:pPr>
              <w:autoSpaceDE w:val="0"/>
              <w:autoSpaceDN w:val="0"/>
              <w:adjustRightInd w:val="0"/>
              <w:rPr>
                <w:rFonts w:cs="Arial"/>
                <w:bCs/>
              </w:rPr>
            </w:pPr>
          </w:p>
        </w:tc>
        <w:tc>
          <w:tcPr>
            <w:tcW w:w="642" w:type="dxa"/>
          </w:tcPr>
          <w:p w:rsidR="00270185" w:rsidRPr="003906D0" w:rsidRDefault="00270185" w:rsidP="00770576">
            <w:pPr>
              <w:autoSpaceDE w:val="0"/>
              <w:autoSpaceDN w:val="0"/>
              <w:adjustRightInd w:val="0"/>
              <w:rPr>
                <w:rFonts w:cs="Arial"/>
                <w:bCs/>
              </w:rPr>
            </w:pPr>
            <w:r w:rsidRPr="003906D0">
              <w:rPr>
                <w:rFonts w:cs="Arial"/>
                <w:bCs/>
              </w:rPr>
              <w:t>1995</w:t>
            </w:r>
          </w:p>
        </w:tc>
        <w:tc>
          <w:tcPr>
            <w:tcW w:w="665" w:type="dxa"/>
          </w:tcPr>
          <w:p w:rsidR="00270185" w:rsidRPr="003906D0" w:rsidRDefault="00270185" w:rsidP="00770576">
            <w:pPr>
              <w:autoSpaceDE w:val="0"/>
              <w:autoSpaceDN w:val="0"/>
              <w:adjustRightInd w:val="0"/>
              <w:rPr>
                <w:rFonts w:cs="Arial"/>
                <w:bCs/>
              </w:rPr>
            </w:pPr>
            <w:r w:rsidRPr="003906D0">
              <w:rPr>
                <w:rFonts w:cs="Arial"/>
                <w:bCs/>
              </w:rPr>
              <w:t>1996</w:t>
            </w:r>
          </w:p>
        </w:tc>
        <w:tc>
          <w:tcPr>
            <w:tcW w:w="709" w:type="dxa"/>
          </w:tcPr>
          <w:p w:rsidR="00270185" w:rsidRPr="003906D0" w:rsidRDefault="00270185" w:rsidP="00770576">
            <w:pPr>
              <w:autoSpaceDE w:val="0"/>
              <w:autoSpaceDN w:val="0"/>
              <w:adjustRightInd w:val="0"/>
              <w:rPr>
                <w:rFonts w:cs="Arial"/>
                <w:bCs/>
              </w:rPr>
            </w:pPr>
            <w:r w:rsidRPr="003906D0">
              <w:rPr>
                <w:rFonts w:cs="Arial"/>
                <w:bCs/>
              </w:rPr>
              <w:t>1997</w:t>
            </w:r>
          </w:p>
        </w:tc>
        <w:tc>
          <w:tcPr>
            <w:tcW w:w="709" w:type="dxa"/>
          </w:tcPr>
          <w:p w:rsidR="00270185" w:rsidRPr="003906D0" w:rsidRDefault="00270185" w:rsidP="00770576">
            <w:pPr>
              <w:autoSpaceDE w:val="0"/>
              <w:autoSpaceDN w:val="0"/>
              <w:adjustRightInd w:val="0"/>
              <w:rPr>
                <w:rFonts w:cs="Arial"/>
                <w:bCs/>
              </w:rPr>
            </w:pPr>
            <w:r w:rsidRPr="003906D0">
              <w:rPr>
                <w:rFonts w:cs="Arial"/>
                <w:bCs/>
              </w:rPr>
              <w:t>1998</w:t>
            </w:r>
          </w:p>
        </w:tc>
        <w:tc>
          <w:tcPr>
            <w:tcW w:w="708" w:type="dxa"/>
          </w:tcPr>
          <w:p w:rsidR="00270185" w:rsidRPr="003906D0" w:rsidRDefault="00270185" w:rsidP="00770576">
            <w:pPr>
              <w:autoSpaceDE w:val="0"/>
              <w:autoSpaceDN w:val="0"/>
              <w:adjustRightInd w:val="0"/>
              <w:rPr>
                <w:rFonts w:cs="Arial"/>
                <w:bCs/>
              </w:rPr>
            </w:pPr>
            <w:r w:rsidRPr="003906D0">
              <w:rPr>
                <w:rFonts w:cs="Arial"/>
                <w:bCs/>
              </w:rPr>
              <w:t>1999</w:t>
            </w:r>
          </w:p>
        </w:tc>
        <w:tc>
          <w:tcPr>
            <w:tcW w:w="709" w:type="dxa"/>
          </w:tcPr>
          <w:p w:rsidR="00270185" w:rsidRPr="003906D0" w:rsidRDefault="00270185" w:rsidP="00770576">
            <w:pPr>
              <w:autoSpaceDE w:val="0"/>
              <w:autoSpaceDN w:val="0"/>
              <w:adjustRightInd w:val="0"/>
              <w:rPr>
                <w:rFonts w:cs="Arial"/>
                <w:bCs/>
              </w:rPr>
            </w:pPr>
            <w:r w:rsidRPr="003906D0">
              <w:rPr>
                <w:rFonts w:cs="Arial"/>
                <w:bCs/>
              </w:rPr>
              <w:t>2000</w:t>
            </w:r>
          </w:p>
        </w:tc>
        <w:tc>
          <w:tcPr>
            <w:tcW w:w="709" w:type="dxa"/>
          </w:tcPr>
          <w:p w:rsidR="00270185" w:rsidRPr="003906D0" w:rsidRDefault="00270185" w:rsidP="00770576">
            <w:pPr>
              <w:autoSpaceDE w:val="0"/>
              <w:autoSpaceDN w:val="0"/>
              <w:adjustRightInd w:val="0"/>
              <w:rPr>
                <w:rFonts w:cs="Arial"/>
                <w:bCs/>
              </w:rPr>
            </w:pPr>
            <w:r w:rsidRPr="003906D0">
              <w:rPr>
                <w:rFonts w:cs="Arial"/>
                <w:bCs/>
              </w:rPr>
              <w:t>2001</w:t>
            </w:r>
          </w:p>
        </w:tc>
        <w:tc>
          <w:tcPr>
            <w:tcW w:w="642" w:type="dxa"/>
          </w:tcPr>
          <w:p w:rsidR="00270185" w:rsidRPr="003906D0" w:rsidRDefault="00270185" w:rsidP="00770576">
            <w:pPr>
              <w:autoSpaceDE w:val="0"/>
              <w:autoSpaceDN w:val="0"/>
              <w:adjustRightInd w:val="0"/>
              <w:rPr>
                <w:rFonts w:cs="Arial"/>
                <w:bCs/>
              </w:rPr>
            </w:pPr>
            <w:r w:rsidRPr="003906D0">
              <w:rPr>
                <w:rFonts w:cs="Arial"/>
                <w:bCs/>
              </w:rPr>
              <w:t>2002</w:t>
            </w:r>
          </w:p>
        </w:tc>
      </w:tr>
      <w:tr w:rsidR="00270185" w:rsidRPr="003906D0" w:rsidTr="00770576">
        <w:trPr>
          <w:jc w:val="center"/>
        </w:trPr>
        <w:tc>
          <w:tcPr>
            <w:tcW w:w="1211" w:type="dxa"/>
          </w:tcPr>
          <w:p w:rsidR="00270185" w:rsidRPr="003906D0" w:rsidRDefault="00270185" w:rsidP="00770576">
            <w:pPr>
              <w:autoSpaceDE w:val="0"/>
              <w:autoSpaceDN w:val="0"/>
              <w:adjustRightInd w:val="0"/>
              <w:rPr>
                <w:rFonts w:cs="Arial"/>
                <w:bCs/>
              </w:rPr>
            </w:pPr>
            <w:r w:rsidRPr="003906D0">
              <w:rPr>
                <w:rFonts w:cs="Arial"/>
                <w:bCs/>
              </w:rPr>
              <w:t>Просечно</w:t>
            </w:r>
          </w:p>
        </w:tc>
        <w:tc>
          <w:tcPr>
            <w:tcW w:w="642" w:type="dxa"/>
          </w:tcPr>
          <w:p w:rsidR="00270185" w:rsidRPr="003906D0" w:rsidRDefault="00270185" w:rsidP="00770576">
            <w:pPr>
              <w:autoSpaceDE w:val="0"/>
              <w:autoSpaceDN w:val="0"/>
              <w:adjustRightInd w:val="0"/>
              <w:rPr>
                <w:rFonts w:cs="Arial"/>
                <w:bCs/>
              </w:rPr>
            </w:pPr>
            <w:r w:rsidRPr="003906D0">
              <w:rPr>
                <w:rFonts w:cs="Arial"/>
                <w:bCs/>
              </w:rPr>
              <w:t>7.8</w:t>
            </w:r>
          </w:p>
        </w:tc>
        <w:tc>
          <w:tcPr>
            <w:tcW w:w="665" w:type="dxa"/>
          </w:tcPr>
          <w:p w:rsidR="00270185" w:rsidRPr="003906D0" w:rsidRDefault="00270185" w:rsidP="00770576">
            <w:pPr>
              <w:autoSpaceDE w:val="0"/>
              <w:autoSpaceDN w:val="0"/>
              <w:adjustRightInd w:val="0"/>
              <w:rPr>
                <w:rFonts w:cs="Arial"/>
                <w:bCs/>
              </w:rPr>
            </w:pPr>
            <w:r w:rsidRPr="003906D0">
              <w:rPr>
                <w:rFonts w:cs="Arial"/>
                <w:bCs/>
              </w:rPr>
              <w:t>7.9</w:t>
            </w:r>
          </w:p>
        </w:tc>
        <w:tc>
          <w:tcPr>
            <w:tcW w:w="709" w:type="dxa"/>
          </w:tcPr>
          <w:p w:rsidR="00270185" w:rsidRPr="003906D0" w:rsidRDefault="00270185" w:rsidP="00770576">
            <w:pPr>
              <w:autoSpaceDE w:val="0"/>
              <w:autoSpaceDN w:val="0"/>
              <w:adjustRightInd w:val="0"/>
              <w:rPr>
                <w:rFonts w:cs="Arial"/>
                <w:bCs/>
              </w:rPr>
            </w:pPr>
            <w:r w:rsidRPr="003906D0">
              <w:rPr>
                <w:rFonts w:cs="Arial"/>
                <w:bCs/>
              </w:rPr>
              <w:t>7.7</w:t>
            </w:r>
          </w:p>
        </w:tc>
        <w:tc>
          <w:tcPr>
            <w:tcW w:w="709" w:type="dxa"/>
          </w:tcPr>
          <w:p w:rsidR="00270185" w:rsidRPr="003906D0" w:rsidRDefault="00270185" w:rsidP="00770576">
            <w:pPr>
              <w:autoSpaceDE w:val="0"/>
              <w:autoSpaceDN w:val="0"/>
              <w:adjustRightInd w:val="0"/>
              <w:rPr>
                <w:rFonts w:cs="Arial"/>
                <w:bCs/>
              </w:rPr>
            </w:pPr>
            <w:r w:rsidRPr="003906D0">
              <w:rPr>
                <w:rFonts w:cs="Arial"/>
                <w:bCs/>
              </w:rPr>
              <w:t>7.8</w:t>
            </w:r>
          </w:p>
        </w:tc>
        <w:tc>
          <w:tcPr>
            <w:tcW w:w="708" w:type="dxa"/>
          </w:tcPr>
          <w:p w:rsidR="00270185" w:rsidRPr="003906D0" w:rsidRDefault="00270185" w:rsidP="00770576">
            <w:pPr>
              <w:autoSpaceDE w:val="0"/>
              <w:autoSpaceDN w:val="0"/>
              <w:adjustRightInd w:val="0"/>
              <w:rPr>
                <w:rFonts w:cs="Arial"/>
                <w:bCs/>
              </w:rPr>
            </w:pPr>
            <w:r w:rsidRPr="003906D0">
              <w:rPr>
                <w:rFonts w:cs="Arial"/>
                <w:bCs/>
              </w:rPr>
              <w:t>7.0</w:t>
            </w:r>
          </w:p>
        </w:tc>
        <w:tc>
          <w:tcPr>
            <w:tcW w:w="709" w:type="dxa"/>
          </w:tcPr>
          <w:p w:rsidR="00270185" w:rsidRPr="003906D0" w:rsidRDefault="00270185" w:rsidP="00770576">
            <w:pPr>
              <w:autoSpaceDE w:val="0"/>
              <w:autoSpaceDN w:val="0"/>
              <w:adjustRightInd w:val="0"/>
              <w:rPr>
                <w:rFonts w:cs="Arial"/>
                <w:bCs/>
              </w:rPr>
            </w:pPr>
            <w:r w:rsidRPr="003906D0">
              <w:rPr>
                <w:rFonts w:cs="Arial"/>
                <w:bCs/>
              </w:rPr>
              <w:t>7.9</w:t>
            </w:r>
          </w:p>
        </w:tc>
        <w:tc>
          <w:tcPr>
            <w:tcW w:w="709" w:type="dxa"/>
          </w:tcPr>
          <w:p w:rsidR="00270185" w:rsidRPr="003906D0" w:rsidRDefault="00270185" w:rsidP="00770576">
            <w:pPr>
              <w:autoSpaceDE w:val="0"/>
              <w:autoSpaceDN w:val="0"/>
              <w:adjustRightInd w:val="0"/>
              <w:rPr>
                <w:rFonts w:cs="Arial"/>
                <w:bCs/>
              </w:rPr>
            </w:pPr>
            <w:r w:rsidRPr="003906D0">
              <w:rPr>
                <w:rFonts w:cs="Arial"/>
                <w:bCs/>
              </w:rPr>
              <w:t>8.2</w:t>
            </w:r>
          </w:p>
        </w:tc>
        <w:tc>
          <w:tcPr>
            <w:tcW w:w="642" w:type="dxa"/>
          </w:tcPr>
          <w:p w:rsidR="00270185" w:rsidRPr="003906D0" w:rsidRDefault="00270185" w:rsidP="00770576">
            <w:pPr>
              <w:autoSpaceDE w:val="0"/>
              <w:autoSpaceDN w:val="0"/>
              <w:adjustRightInd w:val="0"/>
              <w:rPr>
                <w:rFonts w:cs="Arial"/>
                <w:bCs/>
              </w:rPr>
            </w:pPr>
            <w:r w:rsidRPr="003906D0">
              <w:rPr>
                <w:rFonts w:cs="Arial"/>
                <w:bCs/>
              </w:rPr>
              <w:t>8.6</w:t>
            </w:r>
          </w:p>
        </w:tc>
      </w:tr>
      <w:tr w:rsidR="00270185" w:rsidRPr="003906D0" w:rsidTr="00770576">
        <w:trPr>
          <w:jc w:val="center"/>
        </w:trPr>
        <w:tc>
          <w:tcPr>
            <w:tcW w:w="1211" w:type="dxa"/>
          </w:tcPr>
          <w:p w:rsidR="00270185" w:rsidRPr="003906D0" w:rsidRDefault="00270185" w:rsidP="00770576">
            <w:pPr>
              <w:autoSpaceDE w:val="0"/>
              <w:autoSpaceDN w:val="0"/>
              <w:adjustRightInd w:val="0"/>
              <w:rPr>
                <w:rFonts w:cs="Arial"/>
                <w:bCs/>
              </w:rPr>
            </w:pPr>
            <w:r w:rsidRPr="003906D0">
              <w:rPr>
                <w:rFonts w:cs="Arial"/>
                <w:bCs/>
              </w:rPr>
              <w:t>Минимум</w:t>
            </w:r>
          </w:p>
        </w:tc>
        <w:tc>
          <w:tcPr>
            <w:tcW w:w="642" w:type="dxa"/>
          </w:tcPr>
          <w:p w:rsidR="00270185" w:rsidRPr="003906D0" w:rsidRDefault="00270185" w:rsidP="00770576">
            <w:pPr>
              <w:autoSpaceDE w:val="0"/>
              <w:autoSpaceDN w:val="0"/>
              <w:adjustRightInd w:val="0"/>
              <w:rPr>
                <w:rFonts w:cs="Arial"/>
                <w:bCs/>
              </w:rPr>
            </w:pPr>
            <w:r w:rsidRPr="003906D0">
              <w:rPr>
                <w:rFonts w:cs="Arial"/>
                <w:bCs/>
              </w:rPr>
              <w:t>3.4</w:t>
            </w:r>
          </w:p>
        </w:tc>
        <w:tc>
          <w:tcPr>
            <w:tcW w:w="665" w:type="dxa"/>
          </w:tcPr>
          <w:p w:rsidR="00270185" w:rsidRPr="003906D0" w:rsidRDefault="00270185" w:rsidP="00770576">
            <w:pPr>
              <w:autoSpaceDE w:val="0"/>
              <w:autoSpaceDN w:val="0"/>
              <w:adjustRightInd w:val="0"/>
              <w:rPr>
                <w:rFonts w:cs="Arial"/>
                <w:bCs/>
              </w:rPr>
            </w:pPr>
            <w:r w:rsidRPr="003906D0">
              <w:rPr>
                <w:rFonts w:cs="Arial"/>
                <w:bCs/>
              </w:rPr>
              <w:t>3.9</w:t>
            </w:r>
          </w:p>
        </w:tc>
        <w:tc>
          <w:tcPr>
            <w:tcW w:w="709" w:type="dxa"/>
          </w:tcPr>
          <w:p w:rsidR="00270185" w:rsidRPr="003906D0" w:rsidRDefault="00270185" w:rsidP="00770576">
            <w:pPr>
              <w:autoSpaceDE w:val="0"/>
              <w:autoSpaceDN w:val="0"/>
              <w:adjustRightInd w:val="0"/>
              <w:rPr>
                <w:rFonts w:cs="Arial"/>
                <w:bCs/>
              </w:rPr>
            </w:pPr>
            <w:r w:rsidRPr="003906D0">
              <w:rPr>
                <w:rFonts w:cs="Arial"/>
                <w:bCs/>
              </w:rPr>
              <w:t>4.2</w:t>
            </w:r>
          </w:p>
        </w:tc>
        <w:tc>
          <w:tcPr>
            <w:tcW w:w="709" w:type="dxa"/>
          </w:tcPr>
          <w:p w:rsidR="00270185" w:rsidRPr="003906D0" w:rsidRDefault="00270185" w:rsidP="00770576">
            <w:pPr>
              <w:autoSpaceDE w:val="0"/>
              <w:autoSpaceDN w:val="0"/>
              <w:adjustRightInd w:val="0"/>
              <w:rPr>
                <w:rFonts w:cs="Arial"/>
                <w:bCs/>
              </w:rPr>
            </w:pPr>
            <w:r w:rsidRPr="003906D0">
              <w:rPr>
                <w:rFonts w:cs="Arial"/>
                <w:bCs/>
              </w:rPr>
              <w:t>4.8</w:t>
            </w:r>
          </w:p>
        </w:tc>
        <w:tc>
          <w:tcPr>
            <w:tcW w:w="708" w:type="dxa"/>
          </w:tcPr>
          <w:p w:rsidR="00270185" w:rsidRPr="003906D0" w:rsidRDefault="00270185" w:rsidP="00770576">
            <w:pPr>
              <w:autoSpaceDE w:val="0"/>
              <w:autoSpaceDN w:val="0"/>
              <w:adjustRightInd w:val="0"/>
              <w:rPr>
                <w:rFonts w:cs="Arial"/>
                <w:bCs/>
              </w:rPr>
            </w:pPr>
            <w:r w:rsidRPr="003906D0">
              <w:rPr>
                <w:rFonts w:cs="Arial"/>
                <w:bCs/>
              </w:rPr>
              <w:t>5.0</w:t>
            </w:r>
          </w:p>
        </w:tc>
        <w:tc>
          <w:tcPr>
            <w:tcW w:w="709" w:type="dxa"/>
          </w:tcPr>
          <w:p w:rsidR="00270185" w:rsidRPr="003906D0" w:rsidRDefault="00270185" w:rsidP="00770576">
            <w:pPr>
              <w:autoSpaceDE w:val="0"/>
              <w:autoSpaceDN w:val="0"/>
              <w:adjustRightInd w:val="0"/>
              <w:rPr>
                <w:rFonts w:cs="Arial"/>
                <w:bCs/>
              </w:rPr>
            </w:pPr>
            <w:r w:rsidRPr="003906D0">
              <w:rPr>
                <w:rFonts w:cs="Arial"/>
                <w:bCs/>
              </w:rPr>
              <w:t>5.1</w:t>
            </w:r>
          </w:p>
        </w:tc>
        <w:tc>
          <w:tcPr>
            <w:tcW w:w="709" w:type="dxa"/>
          </w:tcPr>
          <w:p w:rsidR="00270185" w:rsidRPr="003906D0" w:rsidRDefault="00270185" w:rsidP="00770576">
            <w:pPr>
              <w:autoSpaceDE w:val="0"/>
              <w:autoSpaceDN w:val="0"/>
              <w:adjustRightInd w:val="0"/>
              <w:rPr>
                <w:rFonts w:cs="Arial"/>
                <w:bCs/>
              </w:rPr>
            </w:pPr>
            <w:r w:rsidRPr="003906D0">
              <w:rPr>
                <w:rFonts w:cs="Arial"/>
                <w:bCs/>
              </w:rPr>
              <w:t>5.6</w:t>
            </w:r>
          </w:p>
        </w:tc>
        <w:tc>
          <w:tcPr>
            <w:tcW w:w="642" w:type="dxa"/>
          </w:tcPr>
          <w:p w:rsidR="00270185" w:rsidRPr="003906D0" w:rsidRDefault="00270185" w:rsidP="00770576">
            <w:pPr>
              <w:autoSpaceDE w:val="0"/>
              <w:autoSpaceDN w:val="0"/>
              <w:adjustRightInd w:val="0"/>
              <w:rPr>
                <w:rFonts w:cs="Arial"/>
                <w:bCs/>
              </w:rPr>
            </w:pPr>
            <w:r w:rsidRPr="003906D0">
              <w:rPr>
                <w:rFonts w:cs="Arial"/>
                <w:bCs/>
              </w:rPr>
              <w:t>5.7</w:t>
            </w:r>
          </w:p>
        </w:tc>
      </w:tr>
      <w:tr w:rsidR="00270185" w:rsidRPr="003906D0" w:rsidTr="00770576">
        <w:trPr>
          <w:jc w:val="center"/>
        </w:trPr>
        <w:tc>
          <w:tcPr>
            <w:tcW w:w="1211" w:type="dxa"/>
          </w:tcPr>
          <w:p w:rsidR="00270185" w:rsidRPr="003906D0" w:rsidRDefault="00270185" w:rsidP="00770576">
            <w:pPr>
              <w:autoSpaceDE w:val="0"/>
              <w:autoSpaceDN w:val="0"/>
              <w:adjustRightInd w:val="0"/>
              <w:rPr>
                <w:rFonts w:cs="Arial"/>
                <w:bCs/>
              </w:rPr>
            </w:pPr>
            <w:r w:rsidRPr="003906D0">
              <w:rPr>
                <w:rFonts w:cs="Arial"/>
                <w:bCs/>
              </w:rPr>
              <w:t>Максимум</w:t>
            </w:r>
          </w:p>
        </w:tc>
        <w:tc>
          <w:tcPr>
            <w:tcW w:w="642" w:type="dxa"/>
          </w:tcPr>
          <w:p w:rsidR="00270185" w:rsidRPr="003906D0" w:rsidRDefault="00270185" w:rsidP="00770576">
            <w:pPr>
              <w:autoSpaceDE w:val="0"/>
              <w:autoSpaceDN w:val="0"/>
              <w:adjustRightInd w:val="0"/>
              <w:rPr>
                <w:rFonts w:cs="Arial"/>
                <w:bCs/>
              </w:rPr>
            </w:pPr>
            <w:r w:rsidRPr="003906D0">
              <w:rPr>
                <w:rFonts w:cs="Arial"/>
                <w:bCs/>
              </w:rPr>
              <w:t>13.3</w:t>
            </w:r>
          </w:p>
        </w:tc>
        <w:tc>
          <w:tcPr>
            <w:tcW w:w="665" w:type="dxa"/>
          </w:tcPr>
          <w:p w:rsidR="00270185" w:rsidRPr="003906D0" w:rsidRDefault="00270185" w:rsidP="00770576">
            <w:pPr>
              <w:autoSpaceDE w:val="0"/>
              <w:autoSpaceDN w:val="0"/>
              <w:adjustRightInd w:val="0"/>
              <w:rPr>
                <w:rFonts w:cs="Arial"/>
                <w:bCs/>
              </w:rPr>
            </w:pPr>
            <w:r w:rsidRPr="003906D0">
              <w:rPr>
                <w:rFonts w:cs="Arial"/>
                <w:bCs/>
              </w:rPr>
              <w:t>13.2</w:t>
            </w:r>
          </w:p>
        </w:tc>
        <w:tc>
          <w:tcPr>
            <w:tcW w:w="709" w:type="dxa"/>
          </w:tcPr>
          <w:p w:rsidR="00270185" w:rsidRPr="003906D0" w:rsidRDefault="00270185" w:rsidP="00770576">
            <w:pPr>
              <w:autoSpaceDE w:val="0"/>
              <w:autoSpaceDN w:val="0"/>
              <w:adjustRightInd w:val="0"/>
              <w:rPr>
                <w:rFonts w:cs="Arial"/>
                <w:bCs/>
              </w:rPr>
            </w:pPr>
            <w:r w:rsidRPr="003906D0">
              <w:rPr>
                <w:rFonts w:cs="Arial"/>
                <w:bCs/>
              </w:rPr>
              <w:t>13.0</w:t>
            </w:r>
          </w:p>
        </w:tc>
        <w:tc>
          <w:tcPr>
            <w:tcW w:w="709" w:type="dxa"/>
          </w:tcPr>
          <w:p w:rsidR="00270185" w:rsidRPr="003906D0" w:rsidRDefault="00270185" w:rsidP="00770576">
            <w:pPr>
              <w:autoSpaceDE w:val="0"/>
              <w:autoSpaceDN w:val="0"/>
              <w:adjustRightInd w:val="0"/>
              <w:rPr>
                <w:rFonts w:cs="Arial"/>
                <w:bCs/>
              </w:rPr>
            </w:pPr>
            <w:r w:rsidRPr="003906D0">
              <w:rPr>
                <w:rFonts w:cs="Arial"/>
                <w:bCs/>
              </w:rPr>
              <w:t>13.0</w:t>
            </w:r>
          </w:p>
        </w:tc>
        <w:tc>
          <w:tcPr>
            <w:tcW w:w="708" w:type="dxa"/>
          </w:tcPr>
          <w:p w:rsidR="00270185" w:rsidRPr="003906D0" w:rsidRDefault="00270185" w:rsidP="00770576">
            <w:pPr>
              <w:autoSpaceDE w:val="0"/>
              <w:autoSpaceDN w:val="0"/>
              <w:adjustRightInd w:val="0"/>
              <w:rPr>
                <w:rFonts w:cs="Arial"/>
                <w:bCs/>
              </w:rPr>
            </w:pPr>
            <w:r w:rsidRPr="003906D0">
              <w:rPr>
                <w:rFonts w:cs="Arial"/>
                <w:bCs/>
              </w:rPr>
              <w:t>13.0</w:t>
            </w:r>
          </w:p>
        </w:tc>
        <w:tc>
          <w:tcPr>
            <w:tcW w:w="709" w:type="dxa"/>
          </w:tcPr>
          <w:p w:rsidR="00270185" w:rsidRPr="003906D0" w:rsidRDefault="00270185" w:rsidP="00770576">
            <w:pPr>
              <w:autoSpaceDE w:val="0"/>
              <w:autoSpaceDN w:val="0"/>
              <w:adjustRightInd w:val="0"/>
              <w:rPr>
                <w:rFonts w:cs="Arial"/>
                <w:bCs/>
              </w:rPr>
            </w:pPr>
            <w:r w:rsidRPr="003906D0">
              <w:rPr>
                <w:rFonts w:cs="Arial"/>
                <w:bCs/>
              </w:rPr>
              <w:t>13.1</w:t>
            </w:r>
          </w:p>
        </w:tc>
        <w:tc>
          <w:tcPr>
            <w:tcW w:w="709" w:type="dxa"/>
          </w:tcPr>
          <w:p w:rsidR="00270185" w:rsidRPr="003906D0" w:rsidRDefault="00270185" w:rsidP="00770576">
            <w:pPr>
              <w:autoSpaceDE w:val="0"/>
              <w:autoSpaceDN w:val="0"/>
              <w:adjustRightInd w:val="0"/>
              <w:rPr>
                <w:rFonts w:cs="Arial"/>
                <w:bCs/>
              </w:rPr>
            </w:pPr>
            <w:r w:rsidRPr="003906D0">
              <w:rPr>
                <w:rFonts w:cs="Arial"/>
                <w:bCs/>
              </w:rPr>
              <w:t>13.9</w:t>
            </w:r>
          </w:p>
        </w:tc>
        <w:tc>
          <w:tcPr>
            <w:tcW w:w="642" w:type="dxa"/>
          </w:tcPr>
          <w:p w:rsidR="00270185" w:rsidRPr="003906D0" w:rsidRDefault="00270185" w:rsidP="00770576">
            <w:pPr>
              <w:autoSpaceDE w:val="0"/>
              <w:autoSpaceDN w:val="0"/>
              <w:adjustRightInd w:val="0"/>
              <w:rPr>
                <w:rFonts w:cs="Arial"/>
                <w:bCs/>
              </w:rPr>
            </w:pPr>
            <w:r w:rsidRPr="003906D0">
              <w:rPr>
                <w:rFonts w:cs="Arial"/>
                <w:bCs/>
              </w:rPr>
              <w:t>14.6</w:t>
            </w:r>
          </w:p>
        </w:tc>
      </w:tr>
    </w:tbl>
    <w:p w:rsidR="00270185" w:rsidRPr="003906D0" w:rsidRDefault="00270185" w:rsidP="00270185">
      <w:pPr>
        <w:rPr>
          <w:rFonts w:cs="Arial"/>
        </w:rPr>
      </w:pPr>
      <w:r w:rsidRPr="003906D0">
        <w:rPr>
          <w:rFonts w:cs="Arial"/>
          <w:i/>
          <w:iCs/>
        </w:rPr>
        <w:t xml:space="preserve">Извор: </w:t>
      </w:r>
      <w:r w:rsidRPr="003906D0">
        <w:rPr>
          <w:rFonts w:cs="Arial"/>
        </w:rPr>
        <w:t>OECD - здравствени подаци, 2004.</w:t>
      </w:r>
    </w:p>
    <w:p w:rsidR="00EC27A4" w:rsidRDefault="00270185" w:rsidP="003906D0">
      <w:pPr>
        <w:rPr>
          <w:rFonts w:cs="Arial"/>
          <w:lang/>
        </w:rPr>
      </w:pPr>
      <w:r>
        <w:rPr>
          <w:rFonts w:cs="Arial"/>
          <w:lang/>
        </w:rPr>
        <w:tab/>
      </w:r>
      <w:r w:rsidR="003906D0" w:rsidRPr="003906D0">
        <w:rPr>
          <w:rFonts w:cs="Arial"/>
        </w:rPr>
        <w:t>Земље које су потрошиле око 3,4 одсто својих буџета на здравствену заштиту средином деведесетих сада троше скоро два пута више. Сједињене Државе су земља која троши највиши проценат БДП-а на здравствену заштиту. Њихов проценат учешћа у БДП-у се стабилизовао од 1995. до 2000. године, али се поново повећавао током пос</w:t>
      </w:r>
      <w:r w:rsidR="002B08FD">
        <w:rPr>
          <w:rFonts w:cs="Arial"/>
          <w:lang/>
        </w:rPr>
        <w:t>л</w:t>
      </w:r>
      <w:r w:rsidR="003906D0" w:rsidRPr="003906D0">
        <w:rPr>
          <w:rFonts w:cs="Arial"/>
        </w:rPr>
        <w:t xml:space="preserve">едњих неколико година. Здравствена заштита, посебно у Сједињеним Државама, је индустрија која се интензивно развија, са више од дванаест милиона радних мјеста, чинећи 9,5 процената радне снаге 2002. године. Као што је приказано у </w:t>
      </w:r>
      <w:r>
        <w:rPr>
          <w:rFonts w:cs="Arial"/>
          <w:lang/>
        </w:rPr>
        <w:t>т</w:t>
      </w:r>
      <w:r w:rsidR="003906D0" w:rsidRPr="003906D0">
        <w:rPr>
          <w:rFonts w:cs="Arial"/>
        </w:rPr>
        <w:t>абели 2, очекује се да ће радна снага из здравствене заштите достићи близу шеснаест милиона за десет година. То представља раст од 28 посто и најбржа је област раста, са девет од двадесет занимања везаних за здравствену заштиту (амерички Одсек за рад, 2004). Старење популације, ширење медицинске технологије, као и нови третмани, доприносе овом расту.</w:t>
      </w:r>
    </w:p>
    <w:p w:rsidR="00270185" w:rsidRPr="003906D0" w:rsidRDefault="00270185" w:rsidP="00270185">
      <w:pPr>
        <w:spacing w:after="60"/>
        <w:jc w:val="center"/>
        <w:rPr>
          <w:rFonts w:cs="Arial"/>
        </w:rPr>
      </w:pPr>
      <w:r w:rsidRPr="003906D0">
        <w:rPr>
          <w:rFonts w:cs="Arial"/>
        </w:rPr>
        <w:t>ТАБЕЛА 2. ДИСТРИБУЦИЈА ЗДРАВСТВЕНИХ ПРОИЗВОДА И ЗДРАВСТВЕНИХ РАДНИКА У ЗДРАВСТВИМ УСЛУГАМА У 2002. ГОДИНИ И ОЧЕКИВАНИ РАСТ</w:t>
      </w:r>
    </w:p>
    <w:tbl>
      <w:tblPr>
        <w:tblStyle w:val="TableGrid"/>
        <w:tblW w:w="5000" w:type="pct"/>
        <w:jc w:val="center"/>
        <w:tblLook w:val="04A0"/>
      </w:tblPr>
      <w:tblGrid>
        <w:gridCol w:w="1858"/>
        <w:gridCol w:w="1858"/>
        <w:gridCol w:w="1857"/>
        <w:gridCol w:w="1857"/>
        <w:gridCol w:w="1857"/>
      </w:tblGrid>
      <w:tr w:rsidR="00270185" w:rsidRPr="003906D0" w:rsidTr="00770576">
        <w:trPr>
          <w:jc w:val="center"/>
        </w:trPr>
        <w:tc>
          <w:tcPr>
            <w:tcW w:w="1000" w:type="pct"/>
            <w:vAlign w:val="center"/>
          </w:tcPr>
          <w:p w:rsidR="00270185" w:rsidRPr="003906D0" w:rsidRDefault="00270185" w:rsidP="00770576">
            <w:pPr>
              <w:jc w:val="center"/>
              <w:rPr>
                <w:rFonts w:cs="Arial"/>
              </w:rPr>
            </w:pPr>
            <w:r w:rsidRPr="003906D0">
              <w:rPr>
                <w:rFonts w:cs="Arial"/>
              </w:rPr>
              <w:t>Пружалац услуга</w:t>
            </w:r>
          </w:p>
        </w:tc>
        <w:tc>
          <w:tcPr>
            <w:tcW w:w="1000" w:type="pct"/>
            <w:vAlign w:val="center"/>
          </w:tcPr>
          <w:p w:rsidR="00270185" w:rsidRPr="003906D0" w:rsidRDefault="00270185" w:rsidP="00770576">
            <w:pPr>
              <w:jc w:val="center"/>
              <w:rPr>
                <w:rFonts w:cs="Arial"/>
              </w:rPr>
            </w:pPr>
            <w:r w:rsidRPr="003906D0">
              <w:rPr>
                <w:rFonts w:cs="Arial"/>
              </w:rPr>
              <w:t>Проценат пружалаца</w:t>
            </w:r>
          </w:p>
        </w:tc>
        <w:tc>
          <w:tcPr>
            <w:tcW w:w="1000" w:type="pct"/>
            <w:vAlign w:val="center"/>
          </w:tcPr>
          <w:p w:rsidR="00270185" w:rsidRPr="003906D0" w:rsidRDefault="00270185" w:rsidP="00770576">
            <w:pPr>
              <w:jc w:val="center"/>
              <w:rPr>
                <w:rFonts w:cs="Arial"/>
              </w:rPr>
            </w:pPr>
            <w:r w:rsidRPr="003906D0">
              <w:rPr>
                <w:rFonts w:cs="Arial"/>
              </w:rPr>
              <w:t>Проценат запослених</w:t>
            </w:r>
          </w:p>
        </w:tc>
        <w:tc>
          <w:tcPr>
            <w:tcW w:w="1000" w:type="pct"/>
            <w:vAlign w:val="center"/>
          </w:tcPr>
          <w:p w:rsidR="00270185" w:rsidRPr="003906D0" w:rsidRDefault="00270185" w:rsidP="00770576">
            <w:pPr>
              <w:jc w:val="center"/>
              <w:rPr>
                <w:rFonts w:cs="Arial"/>
              </w:rPr>
            </w:pPr>
            <w:r w:rsidRPr="003906D0">
              <w:rPr>
                <w:rFonts w:cs="Arial"/>
              </w:rPr>
              <w:t>Запослени (у хиљадама)</w:t>
            </w:r>
          </w:p>
        </w:tc>
        <w:tc>
          <w:tcPr>
            <w:tcW w:w="1000" w:type="pct"/>
            <w:vAlign w:val="center"/>
          </w:tcPr>
          <w:p w:rsidR="00270185" w:rsidRPr="003906D0" w:rsidRDefault="00270185" w:rsidP="0026328A">
            <w:pPr>
              <w:jc w:val="center"/>
              <w:rPr>
                <w:rFonts w:cs="Arial"/>
              </w:rPr>
            </w:pPr>
            <w:r w:rsidRPr="003906D0">
              <w:rPr>
                <w:rFonts w:cs="Arial"/>
              </w:rPr>
              <w:t>Проценат промене запослености (2002.-2012.)</w:t>
            </w:r>
          </w:p>
        </w:tc>
      </w:tr>
      <w:tr w:rsidR="00270185" w:rsidRPr="003906D0" w:rsidTr="00770576">
        <w:trPr>
          <w:jc w:val="center"/>
        </w:trPr>
        <w:tc>
          <w:tcPr>
            <w:tcW w:w="1000" w:type="pct"/>
            <w:vAlign w:val="center"/>
          </w:tcPr>
          <w:p w:rsidR="00270185" w:rsidRPr="003906D0" w:rsidRDefault="00270185" w:rsidP="00770576">
            <w:pPr>
              <w:jc w:val="center"/>
              <w:rPr>
                <w:rFonts w:cs="Arial"/>
              </w:rPr>
            </w:pPr>
            <w:r w:rsidRPr="003906D0">
              <w:rPr>
                <w:rFonts w:cs="Arial"/>
              </w:rPr>
              <w:t>Болнице, јавне и приватне</w:t>
            </w:r>
          </w:p>
        </w:tc>
        <w:tc>
          <w:tcPr>
            <w:tcW w:w="1000" w:type="pct"/>
            <w:vAlign w:val="center"/>
          </w:tcPr>
          <w:p w:rsidR="00270185" w:rsidRPr="003906D0" w:rsidRDefault="00270185" w:rsidP="00770576">
            <w:pPr>
              <w:jc w:val="center"/>
              <w:rPr>
                <w:rFonts w:cs="Arial"/>
              </w:rPr>
            </w:pPr>
            <w:r w:rsidRPr="003906D0">
              <w:rPr>
                <w:rFonts w:cs="Arial"/>
              </w:rPr>
              <w:t>1.9</w:t>
            </w:r>
          </w:p>
        </w:tc>
        <w:tc>
          <w:tcPr>
            <w:tcW w:w="1000" w:type="pct"/>
            <w:vAlign w:val="center"/>
          </w:tcPr>
          <w:p w:rsidR="00270185" w:rsidRPr="003906D0" w:rsidRDefault="00270185" w:rsidP="00770576">
            <w:pPr>
              <w:jc w:val="center"/>
              <w:rPr>
                <w:rFonts w:cs="Arial"/>
              </w:rPr>
            </w:pPr>
            <w:r w:rsidRPr="003906D0">
              <w:rPr>
                <w:rFonts w:cs="Arial"/>
              </w:rPr>
              <w:t>40.9</w:t>
            </w:r>
          </w:p>
        </w:tc>
        <w:tc>
          <w:tcPr>
            <w:tcW w:w="1000" w:type="pct"/>
            <w:vAlign w:val="center"/>
          </w:tcPr>
          <w:p w:rsidR="00270185" w:rsidRPr="003906D0" w:rsidRDefault="00270185" w:rsidP="00770576">
            <w:pPr>
              <w:jc w:val="center"/>
              <w:rPr>
                <w:rFonts w:cs="Arial"/>
              </w:rPr>
            </w:pPr>
            <w:r w:rsidRPr="003906D0">
              <w:rPr>
                <w:rFonts w:cs="Arial"/>
              </w:rPr>
              <w:t>5.148</w:t>
            </w:r>
          </w:p>
        </w:tc>
        <w:tc>
          <w:tcPr>
            <w:tcW w:w="1000" w:type="pct"/>
            <w:vAlign w:val="center"/>
          </w:tcPr>
          <w:p w:rsidR="00270185" w:rsidRPr="003906D0" w:rsidRDefault="00270185" w:rsidP="00770576">
            <w:pPr>
              <w:jc w:val="center"/>
              <w:rPr>
                <w:rFonts w:cs="Arial"/>
              </w:rPr>
            </w:pPr>
            <w:r w:rsidRPr="003906D0">
              <w:rPr>
                <w:rFonts w:cs="Arial"/>
              </w:rPr>
              <w:t>12.8</w:t>
            </w:r>
          </w:p>
        </w:tc>
      </w:tr>
      <w:tr w:rsidR="00270185" w:rsidRPr="003906D0" w:rsidTr="00770576">
        <w:trPr>
          <w:jc w:val="center"/>
        </w:trPr>
        <w:tc>
          <w:tcPr>
            <w:tcW w:w="1000" w:type="pct"/>
            <w:vAlign w:val="center"/>
          </w:tcPr>
          <w:p w:rsidR="00270185" w:rsidRPr="003906D0" w:rsidRDefault="00270185" w:rsidP="00770576">
            <w:pPr>
              <w:jc w:val="center"/>
              <w:rPr>
                <w:rFonts w:cs="Arial"/>
              </w:rPr>
            </w:pPr>
            <w:r w:rsidRPr="003906D0">
              <w:rPr>
                <w:rFonts w:cs="Arial"/>
              </w:rPr>
              <w:t>Сестринска њега и услуге</w:t>
            </w:r>
          </w:p>
        </w:tc>
        <w:tc>
          <w:tcPr>
            <w:tcW w:w="1000" w:type="pct"/>
            <w:vAlign w:val="center"/>
          </w:tcPr>
          <w:p w:rsidR="00270185" w:rsidRPr="003906D0" w:rsidRDefault="00270185" w:rsidP="00770576">
            <w:pPr>
              <w:jc w:val="center"/>
              <w:rPr>
                <w:rFonts w:cs="Arial"/>
              </w:rPr>
            </w:pPr>
            <w:r w:rsidRPr="003906D0">
              <w:rPr>
                <w:rFonts w:cs="Arial"/>
              </w:rPr>
              <w:t>11.7</w:t>
            </w:r>
          </w:p>
        </w:tc>
        <w:tc>
          <w:tcPr>
            <w:tcW w:w="1000" w:type="pct"/>
            <w:vAlign w:val="center"/>
          </w:tcPr>
          <w:p w:rsidR="00270185" w:rsidRPr="003906D0" w:rsidRDefault="00270185" w:rsidP="00770576">
            <w:pPr>
              <w:jc w:val="center"/>
              <w:rPr>
                <w:rFonts w:cs="Arial"/>
              </w:rPr>
            </w:pPr>
            <w:r w:rsidRPr="003906D0">
              <w:rPr>
                <w:rFonts w:cs="Arial"/>
              </w:rPr>
              <w:t>22.1</w:t>
            </w:r>
          </w:p>
        </w:tc>
        <w:tc>
          <w:tcPr>
            <w:tcW w:w="1000" w:type="pct"/>
            <w:vAlign w:val="center"/>
          </w:tcPr>
          <w:p w:rsidR="00270185" w:rsidRPr="003906D0" w:rsidRDefault="00270185" w:rsidP="00770576">
            <w:pPr>
              <w:jc w:val="center"/>
              <w:rPr>
                <w:rFonts w:cs="Arial"/>
              </w:rPr>
            </w:pPr>
            <w:r w:rsidRPr="003906D0">
              <w:rPr>
                <w:rFonts w:cs="Arial"/>
              </w:rPr>
              <w:t>2.743</w:t>
            </w:r>
          </w:p>
        </w:tc>
        <w:tc>
          <w:tcPr>
            <w:tcW w:w="1000" w:type="pct"/>
            <w:vAlign w:val="center"/>
          </w:tcPr>
          <w:p w:rsidR="00270185" w:rsidRPr="003906D0" w:rsidRDefault="00270185" w:rsidP="00770576">
            <w:pPr>
              <w:jc w:val="center"/>
              <w:rPr>
                <w:rFonts w:cs="Arial"/>
              </w:rPr>
            </w:pPr>
            <w:r w:rsidRPr="003906D0">
              <w:rPr>
                <w:rFonts w:cs="Arial"/>
              </w:rPr>
              <w:t>34.3</w:t>
            </w:r>
          </w:p>
        </w:tc>
      </w:tr>
      <w:tr w:rsidR="00270185" w:rsidRPr="003906D0" w:rsidTr="00770576">
        <w:trPr>
          <w:jc w:val="center"/>
        </w:trPr>
        <w:tc>
          <w:tcPr>
            <w:tcW w:w="1000" w:type="pct"/>
            <w:vAlign w:val="center"/>
          </w:tcPr>
          <w:p w:rsidR="00270185" w:rsidRPr="003906D0" w:rsidRDefault="00270185" w:rsidP="00770576">
            <w:pPr>
              <w:jc w:val="center"/>
              <w:rPr>
                <w:rFonts w:cs="Arial"/>
              </w:rPr>
            </w:pPr>
            <w:r w:rsidRPr="003906D0">
              <w:rPr>
                <w:rFonts w:cs="Arial"/>
              </w:rPr>
              <w:t>Ординације љекара</w:t>
            </w:r>
          </w:p>
        </w:tc>
        <w:tc>
          <w:tcPr>
            <w:tcW w:w="1000" w:type="pct"/>
            <w:vAlign w:val="center"/>
          </w:tcPr>
          <w:p w:rsidR="00270185" w:rsidRPr="003906D0" w:rsidRDefault="00270185" w:rsidP="00770576">
            <w:pPr>
              <w:jc w:val="center"/>
              <w:rPr>
                <w:rFonts w:cs="Arial"/>
              </w:rPr>
            </w:pPr>
            <w:r w:rsidRPr="003906D0">
              <w:rPr>
                <w:rFonts w:cs="Arial"/>
              </w:rPr>
              <w:t>37.3</w:t>
            </w:r>
          </w:p>
        </w:tc>
        <w:tc>
          <w:tcPr>
            <w:tcW w:w="1000" w:type="pct"/>
            <w:vAlign w:val="center"/>
          </w:tcPr>
          <w:p w:rsidR="00270185" w:rsidRPr="003906D0" w:rsidRDefault="00270185" w:rsidP="00770576">
            <w:pPr>
              <w:jc w:val="center"/>
              <w:rPr>
                <w:rFonts w:cs="Arial"/>
              </w:rPr>
            </w:pPr>
            <w:r w:rsidRPr="003906D0">
              <w:rPr>
                <w:rFonts w:cs="Arial"/>
              </w:rPr>
              <w:t>15.5</w:t>
            </w:r>
          </w:p>
        </w:tc>
        <w:tc>
          <w:tcPr>
            <w:tcW w:w="1000" w:type="pct"/>
            <w:vAlign w:val="center"/>
          </w:tcPr>
          <w:p w:rsidR="00270185" w:rsidRPr="003906D0" w:rsidRDefault="00270185" w:rsidP="00770576">
            <w:pPr>
              <w:jc w:val="center"/>
              <w:rPr>
                <w:rFonts w:cs="Arial"/>
              </w:rPr>
            </w:pPr>
            <w:r w:rsidRPr="003906D0">
              <w:rPr>
                <w:rFonts w:cs="Arial"/>
              </w:rPr>
              <w:t>1.983</w:t>
            </w:r>
          </w:p>
        </w:tc>
        <w:tc>
          <w:tcPr>
            <w:tcW w:w="1000" w:type="pct"/>
            <w:vAlign w:val="center"/>
          </w:tcPr>
          <w:p w:rsidR="00270185" w:rsidRPr="003906D0" w:rsidRDefault="00270185" w:rsidP="00770576">
            <w:pPr>
              <w:jc w:val="center"/>
              <w:rPr>
                <w:rFonts w:cs="Arial"/>
              </w:rPr>
            </w:pPr>
            <w:r w:rsidRPr="003906D0">
              <w:rPr>
                <w:rFonts w:cs="Arial"/>
              </w:rPr>
              <w:t>38.8</w:t>
            </w:r>
          </w:p>
        </w:tc>
      </w:tr>
      <w:tr w:rsidR="00270185" w:rsidRPr="003906D0" w:rsidTr="00770576">
        <w:trPr>
          <w:jc w:val="center"/>
        </w:trPr>
        <w:tc>
          <w:tcPr>
            <w:tcW w:w="1000" w:type="pct"/>
            <w:vAlign w:val="center"/>
          </w:tcPr>
          <w:p w:rsidR="00270185" w:rsidRPr="003906D0" w:rsidRDefault="00270185" w:rsidP="00770576">
            <w:pPr>
              <w:jc w:val="center"/>
              <w:rPr>
                <w:rFonts w:cs="Arial"/>
              </w:rPr>
            </w:pPr>
            <w:r w:rsidRPr="003906D0">
              <w:rPr>
                <w:rFonts w:cs="Arial"/>
              </w:rPr>
              <w:t>Ординације стоматолога</w:t>
            </w:r>
          </w:p>
        </w:tc>
        <w:tc>
          <w:tcPr>
            <w:tcW w:w="1000" w:type="pct"/>
            <w:vAlign w:val="center"/>
          </w:tcPr>
          <w:p w:rsidR="00270185" w:rsidRPr="003906D0" w:rsidRDefault="00270185" w:rsidP="00770576">
            <w:pPr>
              <w:jc w:val="center"/>
              <w:rPr>
                <w:rFonts w:cs="Arial"/>
              </w:rPr>
            </w:pPr>
            <w:r w:rsidRPr="003906D0">
              <w:rPr>
                <w:rFonts w:cs="Arial"/>
              </w:rPr>
              <w:t>21.6</w:t>
            </w:r>
          </w:p>
        </w:tc>
        <w:tc>
          <w:tcPr>
            <w:tcW w:w="1000" w:type="pct"/>
            <w:vAlign w:val="center"/>
          </w:tcPr>
          <w:p w:rsidR="00270185" w:rsidRPr="003906D0" w:rsidRDefault="00270185" w:rsidP="00770576">
            <w:pPr>
              <w:jc w:val="center"/>
              <w:rPr>
                <w:rFonts w:cs="Arial"/>
              </w:rPr>
            </w:pPr>
            <w:r w:rsidRPr="003906D0">
              <w:rPr>
                <w:rFonts w:cs="Arial"/>
              </w:rPr>
              <w:t>5.9</w:t>
            </w:r>
          </w:p>
        </w:tc>
        <w:tc>
          <w:tcPr>
            <w:tcW w:w="1000" w:type="pct"/>
            <w:vAlign w:val="center"/>
          </w:tcPr>
          <w:p w:rsidR="00270185" w:rsidRPr="003906D0" w:rsidRDefault="00270185" w:rsidP="00770576">
            <w:pPr>
              <w:jc w:val="center"/>
              <w:rPr>
                <w:rFonts w:cs="Arial"/>
              </w:rPr>
            </w:pPr>
            <w:r w:rsidRPr="003906D0">
              <w:rPr>
                <w:rFonts w:cs="Arial"/>
              </w:rPr>
              <w:t>726</w:t>
            </w:r>
          </w:p>
        </w:tc>
        <w:tc>
          <w:tcPr>
            <w:tcW w:w="1000" w:type="pct"/>
            <w:vAlign w:val="center"/>
          </w:tcPr>
          <w:p w:rsidR="00270185" w:rsidRPr="003906D0" w:rsidRDefault="00270185" w:rsidP="00770576">
            <w:pPr>
              <w:jc w:val="center"/>
              <w:rPr>
                <w:rFonts w:cs="Arial"/>
              </w:rPr>
            </w:pPr>
            <w:r w:rsidRPr="003906D0">
              <w:rPr>
                <w:rFonts w:cs="Arial"/>
              </w:rPr>
              <w:t>30.9</w:t>
            </w:r>
          </w:p>
        </w:tc>
      </w:tr>
      <w:tr w:rsidR="00270185" w:rsidRPr="003906D0" w:rsidTr="00770576">
        <w:trPr>
          <w:jc w:val="center"/>
        </w:trPr>
        <w:tc>
          <w:tcPr>
            <w:tcW w:w="1000" w:type="pct"/>
            <w:vAlign w:val="center"/>
          </w:tcPr>
          <w:p w:rsidR="00270185" w:rsidRPr="003906D0" w:rsidRDefault="00270185" w:rsidP="00770576">
            <w:pPr>
              <w:jc w:val="center"/>
              <w:rPr>
                <w:rFonts w:cs="Arial"/>
              </w:rPr>
            </w:pPr>
            <w:r w:rsidRPr="003906D0">
              <w:rPr>
                <w:rFonts w:cs="Arial"/>
              </w:rPr>
              <w:t>Кућна њега</w:t>
            </w:r>
          </w:p>
        </w:tc>
        <w:tc>
          <w:tcPr>
            <w:tcW w:w="1000" w:type="pct"/>
            <w:vAlign w:val="center"/>
          </w:tcPr>
          <w:p w:rsidR="00270185" w:rsidRPr="003906D0" w:rsidRDefault="00270185" w:rsidP="00770576">
            <w:pPr>
              <w:jc w:val="center"/>
              <w:rPr>
                <w:rFonts w:cs="Arial"/>
              </w:rPr>
            </w:pPr>
            <w:r w:rsidRPr="003906D0">
              <w:rPr>
                <w:rFonts w:cs="Arial"/>
              </w:rPr>
              <w:t>2.8</w:t>
            </w:r>
          </w:p>
        </w:tc>
        <w:tc>
          <w:tcPr>
            <w:tcW w:w="1000" w:type="pct"/>
            <w:vAlign w:val="center"/>
          </w:tcPr>
          <w:p w:rsidR="00270185" w:rsidRPr="003906D0" w:rsidRDefault="00270185" w:rsidP="00770576">
            <w:pPr>
              <w:jc w:val="center"/>
              <w:rPr>
                <w:rFonts w:cs="Arial"/>
              </w:rPr>
            </w:pPr>
            <w:r w:rsidRPr="003906D0">
              <w:rPr>
                <w:rFonts w:cs="Arial"/>
              </w:rPr>
              <w:t>5.5</w:t>
            </w:r>
          </w:p>
        </w:tc>
        <w:tc>
          <w:tcPr>
            <w:tcW w:w="1000" w:type="pct"/>
            <w:vAlign w:val="center"/>
          </w:tcPr>
          <w:p w:rsidR="00270185" w:rsidRPr="003906D0" w:rsidRDefault="00270185" w:rsidP="00770576">
            <w:pPr>
              <w:jc w:val="center"/>
              <w:rPr>
                <w:rFonts w:cs="Arial"/>
              </w:rPr>
            </w:pPr>
            <w:r w:rsidRPr="003906D0">
              <w:rPr>
                <w:rFonts w:cs="Arial"/>
              </w:rPr>
              <w:t>675</w:t>
            </w:r>
          </w:p>
        </w:tc>
        <w:tc>
          <w:tcPr>
            <w:tcW w:w="1000" w:type="pct"/>
            <w:vAlign w:val="center"/>
          </w:tcPr>
          <w:p w:rsidR="00270185" w:rsidRPr="003906D0" w:rsidRDefault="00270185" w:rsidP="00770576">
            <w:pPr>
              <w:jc w:val="center"/>
              <w:rPr>
                <w:rFonts w:cs="Arial"/>
              </w:rPr>
            </w:pPr>
            <w:r w:rsidRPr="003906D0">
              <w:rPr>
                <w:rFonts w:cs="Arial"/>
              </w:rPr>
              <w:t>55.8</w:t>
            </w:r>
          </w:p>
        </w:tc>
      </w:tr>
      <w:tr w:rsidR="00270185" w:rsidRPr="003906D0" w:rsidTr="00770576">
        <w:trPr>
          <w:jc w:val="center"/>
        </w:trPr>
        <w:tc>
          <w:tcPr>
            <w:tcW w:w="1000" w:type="pct"/>
            <w:vAlign w:val="center"/>
          </w:tcPr>
          <w:p w:rsidR="00270185" w:rsidRPr="003906D0" w:rsidRDefault="00270185" w:rsidP="00770576">
            <w:pPr>
              <w:jc w:val="center"/>
              <w:rPr>
                <w:rFonts w:cs="Arial"/>
              </w:rPr>
            </w:pPr>
            <w:r w:rsidRPr="003906D0">
              <w:rPr>
                <w:rFonts w:cs="Arial"/>
              </w:rPr>
              <w:t>Ординације осталих специјалиста</w:t>
            </w:r>
          </w:p>
        </w:tc>
        <w:tc>
          <w:tcPr>
            <w:tcW w:w="1000" w:type="pct"/>
            <w:vAlign w:val="center"/>
          </w:tcPr>
          <w:p w:rsidR="00270185" w:rsidRPr="003906D0" w:rsidRDefault="00270185" w:rsidP="00770576">
            <w:pPr>
              <w:jc w:val="center"/>
              <w:rPr>
                <w:rFonts w:cs="Arial"/>
              </w:rPr>
            </w:pPr>
            <w:r w:rsidRPr="003906D0">
              <w:rPr>
                <w:rFonts w:cs="Arial"/>
              </w:rPr>
              <w:t>18.2</w:t>
            </w:r>
          </w:p>
        </w:tc>
        <w:tc>
          <w:tcPr>
            <w:tcW w:w="1000" w:type="pct"/>
            <w:vAlign w:val="center"/>
          </w:tcPr>
          <w:p w:rsidR="00270185" w:rsidRPr="003906D0" w:rsidRDefault="00270185" w:rsidP="00770576">
            <w:pPr>
              <w:jc w:val="center"/>
              <w:rPr>
                <w:rFonts w:cs="Arial"/>
              </w:rPr>
            </w:pPr>
            <w:r w:rsidRPr="003906D0">
              <w:rPr>
                <w:rFonts w:cs="Arial"/>
              </w:rPr>
              <w:t>3.9</w:t>
            </w:r>
          </w:p>
        </w:tc>
        <w:tc>
          <w:tcPr>
            <w:tcW w:w="1000" w:type="pct"/>
            <w:vAlign w:val="center"/>
          </w:tcPr>
          <w:p w:rsidR="00270185" w:rsidRPr="003906D0" w:rsidRDefault="00270185" w:rsidP="00770576">
            <w:pPr>
              <w:jc w:val="center"/>
              <w:rPr>
                <w:rFonts w:cs="Arial"/>
              </w:rPr>
            </w:pPr>
            <w:r w:rsidRPr="003906D0">
              <w:rPr>
                <w:rFonts w:cs="Arial"/>
              </w:rPr>
              <w:t>482</w:t>
            </w:r>
          </w:p>
        </w:tc>
        <w:tc>
          <w:tcPr>
            <w:tcW w:w="1000" w:type="pct"/>
            <w:vAlign w:val="center"/>
          </w:tcPr>
          <w:p w:rsidR="00270185" w:rsidRPr="003906D0" w:rsidRDefault="00270185" w:rsidP="00770576">
            <w:pPr>
              <w:jc w:val="center"/>
              <w:rPr>
                <w:rFonts w:cs="Arial"/>
              </w:rPr>
            </w:pPr>
            <w:r w:rsidRPr="003906D0">
              <w:rPr>
                <w:rFonts w:cs="Arial"/>
              </w:rPr>
              <w:t>48.8</w:t>
            </w:r>
          </w:p>
        </w:tc>
      </w:tr>
      <w:tr w:rsidR="00270185" w:rsidRPr="003906D0" w:rsidTr="00770576">
        <w:trPr>
          <w:jc w:val="center"/>
        </w:trPr>
        <w:tc>
          <w:tcPr>
            <w:tcW w:w="1000" w:type="pct"/>
            <w:vAlign w:val="center"/>
          </w:tcPr>
          <w:p w:rsidR="00270185" w:rsidRPr="003906D0" w:rsidRDefault="00270185" w:rsidP="00770576">
            <w:pPr>
              <w:jc w:val="center"/>
              <w:rPr>
                <w:rFonts w:cs="Arial"/>
              </w:rPr>
            </w:pPr>
            <w:r w:rsidRPr="003906D0">
              <w:rPr>
                <w:rFonts w:cs="Arial"/>
              </w:rPr>
              <w:t>Центри за амбулантну у његу</w:t>
            </w:r>
          </w:p>
        </w:tc>
        <w:tc>
          <w:tcPr>
            <w:tcW w:w="1000" w:type="pct"/>
            <w:vAlign w:val="center"/>
          </w:tcPr>
          <w:p w:rsidR="00270185" w:rsidRPr="003906D0" w:rsidRDefault="00270185" w:rsidP="00770576">
            <w:pPr>
              <w:jc w:val="center"/>
              <w:rPr>
                <w:rFonts w:cs="Arial"/>
              </w:rPr>
            </w:pPr>
            <w:r w:rsidRPr="003906D0">
              <w:rPr>
                <w:rFonts w:cs="Arial"/>
              </w:rPr>
              <w:t>3.1</w:t>
            </w:r>
          </w:p>
        </w:tc>
        <w:tc>
          <w:tcPr>
            <w:tcW w:w="1000" w:type="pct"/>
            <w:vAlign w:val="center"/>
          </w:tcPr>
          <w:p w:rsidR="00270185" w:rsidRPr="003906D0" w:rsidRDefault="00270185" w:rsidP="00770576">
            <w:pPr>
              <w:jc w:val="center"/>
              <w:rPr>
                <w:rFonts w:cs="Arial"/>
              </w:rPr>
            </w:pPr>
            <w:r w:rsidRPr="003906D0">
              <w:rPr>
                <w:rFonts w:cs="Arial"/>
              </w:rPr>
              <w:t>3.3</w:t>
            </w:r>
          </w:p>
        </w:tc>
        <w:tc>
          <w:tcPr>
            <w:tcW w:w="1000" w:type="pct"/>
            <w:vAlign w:val="center"/>
          </w:tcPr>
          <w:p w:rsidR="00270185" w:rsidRPr="003906D0" w:rsidRDefault="00270185" w:rsidP="00770576">
            <w:pPr>
              <w:jc w:val="center"/>
              <w:rPr>
                <w:rFonts w:cs="Arial"/>
              </w:rPr>
            </w:pPr>
            <w:r w:rsidRPr="003906D0">
              <w:rPr>
                <w:rFonts w:cs="Arial"/>
              </w:rPr>
              <w:t>184</w:t>
            </w:r>
          </w:p>
        </w:tc>
        <w:tc>
          <w:tcPr>
            <w:tcW w:w="1000" w:type="pct"/>
            <w:vAlign w:val="center"/>
          </w:tcPr>
          <w:p w:rsidR="00270185" w:rsidRPr="003906D0" w:rsidRDefault="00270185" w:rsidP="00770576">
            <w:pPr>
              <w:jc w:val="center"/>
              <w:rPr>
                <w:rFonts w:cs="Arial"/>
              </w:rPr>
            </w:pPr>
            <w:r w:rsidRPr="003906D0">
              <w:rPr>
                <w:rFonts w:cs="Arial"/>
              </w:rPr>
              <w:t>47.5</w:t>
            </w:r>
          </w:p>
        </w:tc>
      </w:tr>
      <w:tr w:rsidR="00270185" w:rsidRPr="003906D0" w:rsidTr="00770576">
        <w:trPr>
          <w:jc w:val="center"/>
        </w:trPr>
        <w:tc>
          <w:tcPr>
            <w:tcW w:w="1000" w:type="pct"/>
            <w:vAlign w:val="center"/>
          </w:tcPr>
          <w:p w:rsidR="00270185" w:rsidRPr="003906D0" w:rsidRDefault="00270185" w:rsidP="00770576">
            <w:pPr>
              <w:jc w:val="center"/>
              <w:rPr>
                <w:rFonts w:cs="Arial"/>
              </w:rPr>
            </w:pPr>
            <w:r w:rsidRPr="003906D0">
              <w:rPr>
                <w:rFonts w:cs="Arial"/>
              </w:rPr>
              <w:t>Остале амбуланте за пружање здравствених услуга</w:t>
            </w:r>
          </w:p>
        </w:tc>
        <w:tc>
          <w:tcPr>
            <w:tcW w:w="1000" w:type="pct"/>
            <w:vAlign w:val="center"/>
          </w:tcPr>
          <w:p w:rsidR="00270185" w:rsidRPr="003906D0" w:rsidRDefault="00270185" w:rsidP="00770576">
            <w:pPr>
              <w:jc w:val="center"/>
              <w:rPr>
                <w:rFonts w:cs="Arial"/>
              </w:rPr>
            </w:pPr>
            <w:r w:rsidRPr="003906D0">
              <w:rPr>
                <w:rFonts w:cs="Arial"/>
              </w:rPr>
              <w:t>1.5</w:t>
            </w:r>
          </w:p>
        </w:tc>
        <w:tc>
          <w:tcPr>
            <w:tcW w:w="1000" w:type="pct"/>
            <w:vAlign w:val="center"/>
          </w:tcPr>
          <w:p w:rsidR="00270185" w:rsidRPr="003906D0" w:rsidRDefault="00270185" w:rsidP="00770576">
            <w:pPr>
              <w:jc w:val="center"/>
              <w:rPr>
                <w:rFonts w:cs="Arial"/>
              </w:rPr>
            </w:pPr>
            <w:r w:rsidRPr="003906D0">
              <w:rPr>
                <w:rFonts w:cs="Arial"/>
              </w:rPr>
              <w:t>1.5</w:t>
            </w:r>
          </w:p>
        </w:tc>
        <w:tc>
          <w:tcPr>
            <w:tcW w:w="1000" w:type="pct"/>
            <w:vAlign w:val="center"/>
          </w:tcPr>
          <w:p w:rsidR="00270185" w:rsidRPr="003906D0" w:rsidRDefault="00270185" w:rsidP="00770576">
            <w:pPr>
              <w:jc w:val="center"/>
              <w:rPr>
                <w:rFonts w:cs="Arial"/>
              </w:rPr>
            </w:pPr>
            <w:r w:rsidRPr="003906D0">
              <w:rPr>
                <w:rFonts w:cs="Arial"/>
              </w:rPr>
              <w:t>174</w:t>
            </w:r>
          </w:p>
        </w:tc>
        <w:tc>
          <w:tcPr>
            <w:tcW w:w="1000" w:type="pct"/>
            <w:vAlign w:val="center"/>
          </w:tcPr>
          <w:p w:rsidR="00270185" w:rsidRPr="003906D0" w:rsidRDefault="00270185" w:rsidP="00770576">
            <w:pPr>
              <w:jc w:val="center"/>
              <w:rPr>
                <w:rFonts w:cs="Arial"/>
              </w:rPr>
            </w:pPr>
            <w:r w:rsidRPr="003906D0">
              <w:rPr>
                <w:rFonts w:cs="Arial"/>
              </w:rPr>
              <w:t>37.6</w:t>
            </w:r>
          </w:p>
        </w:tc>
      </w:tr>
      <w:tr w:rsidR="00270185" w:rsidRPr="003906D0" w:rsidTr="00770576">
        <w:trPr>
          <w:jc w:val="center"/>
        </w:trPr>
        <w:tc>
          <w:tcPr>
            <w:tcW w:w="1000" w:type="pct"/>
            <w:vAlign w:val="center"/>
          </w:tcPr>
          <w:p w:rsidR="00270185" w:rsidRPr="003906D0" w:rsidRDefault="00270185" w:rsidP="00770576">
            <w:pPr>
              <w:jc w:val="center"/>
              <w:rPr>
                <w:rFonts w:cs="Arial"/>
              </w:rPr>
            </w:pPr>
            <w:r w:rsidRPr="003906D0">
              <w:rPr>
                <w:rFonts w:cs="Arial"/>
              </w:rPr>
              <w:t>Медицинске и дијагностичке лабораторије</w:t>
            </w:r>
          </w:p>
        </w:tc>
        <w:tc>
          <w:tcPr>
            <w:tcW w:w="1000" w:type="pct"/>
            <w:vAlign w:val="center"/>
          </w:tcPr>
          <w:p w:rsidR="00270185" w:rsidRPr="003906D0" w:rsidRDefault="00270185" w:rsidP="00770576">
            <w:pPr>
              <w:jc w:val="center"/>
              <w:rPr>
                <w:rFonts w:cs="Arial"/>
              </w:rPr>
            </w:pPr>
            <w:r w:rsidRPr="003906D0">
              <w:rPr>
                <w:rFonts w:cs="Arial"/>
              </w:rPr>
              <w:t>1.9</w:t>
            </w:r>
          </w:p>
        </w:tc>
        <w:tc>
          <w:tcPr>
            <w:tcW w:w="1000" w:type="pct"/>
            <w:vAlign w:val="center"/>
          </w:tcPr>
          <w:p w:rsidR="00270185" w:rsidRPr="003906D0" w:rsidRDefault="00270185" w:rsidP="00770576">
            <w:pPr>
              <w:jc w:val="center"/>
              <w:rPr>
                <w:rFonts w:cs="Arial"/>
              </w:rPr>
            </w:pPr>
            <w:r w:rsidRPr="003906D0">
              <w:rPr>
                <w:rFonts w:cs="Arial"/>
              </w:rPr>
              <w:t>1.4</w:t>
            </w:r>
          </w:p>
        </w:tc>
        <w:tc>
          <w:tcPr>
            <w:tcW w:w="1000" w:type="pct"/>
            <w:vAlign w:val="center"/>
          </w:tcPr>
          <w:p w:rsidR="00270185" w:rsidRPr="003906D0" w:rsidRDefault="00270185" w:rsidP="00770576">
            <w:pPr>
              <w:jc w:val="center"/>
              <w:rPr>
                <w:rFonts w:cs="Arial"/>
              </w:rPr>
            </w:pPr>
            <w:r w:rsidRPr="003906D0">
              <w:rPr>
                <w:rFonts w:cs="Arial"/>
              </w:rPr>
              <w:t>5.148</w:t>
            </w:r>
          </w:p>
        </w:tc>
        <w:tc>
          <w:tcPr>
            <w:tcW w:w="1000" w:type="pct"/>
            <w:vAlign w:val="center"/>
          </w:tcPr>
          <w:p w:rsidR="00270185" w:rsidRPr="003906D0" w:rsidRDefault="00270185" w:rsidP="00770576">
            <w:pPr>
              <w:jc w:val="center"/>
              <w:rPr>
                <w:rFonts w:cs="Arial"/>
              </w:rPr>
            </w:pPr>
            <w:r w:rsidRPr="003906D0">
              <w:rPr>
                <w:rFonts w:cs="Arial"/>
              </w:rPr>
              <w:t>12.8</w:t>
            </w:r>
          </w:p>
        </w:tc>
      </w:tr>
    </w:tbl>
    <w:p w:rsidR="00270185" w:rsidRPr="003906D0" w:rsidRDefault="00270185" w:rsidP="00270185">
      <w:pPr>
        <w:rPr>
          <w:rFonts w:cs="Arial"/>
        </w:rPr>
      </w:pPr>
      <w:r w:rsidRPr="003906D0">
        <w:rPr>
          <w:rFonts w:cs="Arial"/>
        </w:rPr>
        <w:t xml:space="preserve">Извор: Амерички Одсек за рад (2004). </w:t>
      </w:r>
    </w:p>
    <w:p w:rsidR="00270185" w:rsidRPr="00270185" w:rsidRDefault="00270185" w:rsidP="003906D0">
      <w:pPr>
        <w:rPr>
          <w:rFonts w:cs="Arial"/>
          <w:b/>
          <w:lang/>
        </w:rPr>
      </w:pPr>
    </w:p>
    <w:p w:rsidR="004A1297" w:rsidRDefault="00EC27A4" w:rsidP="004A1297">
      <w:pPr>
        <w:spacing w:before="0"/>
        <w:rPr>
          <w:rFonts w:cs="Arial"/>
          <w:lang/>
        </w:rPr>
      </w:pPr>
      <w:r>
        <w:rPr>
          <w:rFonts w:cs="Arial"/>
          <w:lang/>
        </w:rPr>
        <w:lastRenderedPageBreak/>
        <w:tab/>
      </w:r>
      <w:r w:rsidR="003906D0" w:rsidRPr="003906D0">
        <w:rPr>
          <w:rFonts w:cs="Arial"/>
        </w:rPr>
        <w:t xml:space="preserve">Индустрија здравствене заштите тежи да одговара различитим медицинским потребама популације. Њених 518.000 установа варирају по величини, сложености и организационој структури, од </w:t>
      </w:r>
      <w:r w:rsidR="0026328A">
        <w:rPr>
          <w:rFonts w:cs="Arial"/>
          <w:lang/>
        </w:rPr>
        <w:t>л</w:t>
      </w:r>
      <w:r w:rsidR="003906D0" w:rsidRPr="003906D0">
        <w:rPr>
          <w:rFonts w:cs="Arial"/>
        </w:rPr>
        <w:t xml:space="preserve">екара у малом граду, доктора приватне праксе са једним медицинским помоћником у урбаним болницама које запошљавају хиљаде различитих здравствених радника. Око 2% здравствених установа су болнице, али оне запошљавају преко 40% свих здравствених радника. Премда су 59 процената здравствених установа </w:t>
      </w:r>
      <w:r w:rsidR="006F6543">
        <w:rPr>
          <w:rFonts w:cs="Arial"/>
          <w:lang/>
        </w:rPr>
        <w:t>л</w:t>
      </w:r>
      <w:r w:rsidR="003906D0" w:rsidRPr="003906D0">
        <w:rPr>
          <w:rFonts w:cs="Arial"/>
        </w:rPr>
        <w:t>екарске и стоматолошке ординације, оне запошљавају 21,4 пос</w:t>
      </w:r>
      <w:r w:rsidR="006F6543">
        <w:rPr>
          <w:rFonts w:cs="Arial"/>
        </w:rPr>
        <w:t>то здравствене радне снаге (</w:t>
      </w:r>
      <w:r w:rsidR="003906D0" w:rsidRPr="003906D0">
        <w:rPr>
          <w:rFonts w:cs="Arial"/>
        </w:rPr>
        <w:t>табел</w:t>
      </w:r>
      <w:r w:rsidR="006F6543">
        <w:rPr>
          <w:rFonts w:cs="Arial"/>
          <w:lang/>
        </w:rPr>
        <w:t>а</w:t>
      </w:r>
      <w:r w:rsidR="003906D0" w:rsidRPr="003906D0">
        <w:rPr>
          <w:rFonts w:cs="Arial"/>
        </w:rPr>
        <w:t xml:space="preserve"> 2). Напредак у медицинским технологијама, нове процедуре и методе дијагнозе и лечења, мање инвазивне хируршке технике, генетска терапија - све ово повећава дуговечност и побољшава квалитет живота. Слично томе, напредак у информационој технологији може побољшати бригу о пацијенту. </w:t>
      </w:r>
    </w:p>
    <w:p w:rsidR="00915740" w:rsidRDefault="00E20195" w:rsidP="00915740">
      <w:pPr>
        <w:spacing w:before="0"/>
        <w:rPr>
          <w:rFonts w:cs="Arial"/>
          <w:lang/>
        </w:rPr>
      </w:pPr>
      <w:r>
        <w:rPr>
          <w:rFonts w:cs="Arial"/>
          <w:lang/>
        </w:rPr>
        <w:tab/>
      </w:r>
      <w:r w:rsidR="003906D0" w:rsidRPr="003906D0">
        <w:rPr>
          <w:rFonts w:cs="Arial"/>
        </w:rPr>
        <w:t>На пример, системи за ручни унос налога</w:t>
      </w:r>
      <w:r w:rsidR="008E0308">
        <w:rPr>
          <w:rFonts w:cs="Arial"/>
          <w:lang/>
        </w:rPr>
        <w:t xml:space="preserve"> </w:t>
      </w:r>
      <w:r w:rsidR="003906D0" w:rsidRPr="003906D0">
        <w:rPr>
          <w:rFonts w:cs="Arial"/>
        </w:rPr>
        <w:t xml:space="preserve">(као што су лични дигитални асистенти - ПДА) и скенери бар-кода на болесничком кревету чине здравствене раднике ефикаснијим, али и смањују грешке и на тај начин побољшавају квалитет здравствене </w:t>
      </w:r>
      <w:r w:rsidR="00C54819">
        <w:rPr>
          <w:rFonts w:cs="Arial"/>
        </w:rPr>
        <w:t>неге</w:t>
      </w:r>
      <w:r w:rsidR="003906D0" w:rsidRPr="003906D0">
        <w:rPr>
          <w:rFonts w:cs="Arial"/>
        </w:rPr>
        <w:t xml:space="preserve">. Ови напретци обично доприносе и трошковима, па је смањивање трошкова главни циљ у здравственој индустрији. Да би се то остварило, здравствена индустрија је померила бригу о пацијенту од болничке </w:t>
      </w:r>
      <w:r w:rsidR="00C54819">
        <w:rPr>
          <w:rFonts w:cs="Arial"/>
        </w:rPr>
        <w:t>неге</w:t>
      </w:r>
      <w:r w:rsidR="003906D0" w:rsidRPr="003906D0">
        <w:rPr>
          <w:rFonts w:cs="Arial"/>
        </w:rPr>
        <w:t xml:space="preserve"> до амбуланте и амбулантне </w:t>
      </w:r>
      <w:r w:rsidR="00C54819">
        <w:rPr>
          <w:rFonts w:cs="Arial"/>
        </w:rPr>
        <w:t>неге</w:t>
      </w:r>
      <w:r w:rsidR="003906D0" w:rsidRPr="003906D0">
        <w:rPr>
          <w:rFonts w:cs="Arial"/>
        </w:rPr>
        <w:t xml:space="preserve">. Истовремено, програми </w:t>
      </w:r>
      <w:r w:rsidR="00C54819">
        <w:rPr>
          <w:rFonts w:cs="Arial"/>
        </w:rPr>
        <w:t>неге</w:t>
      </w:r>
      <w:r w:rsidR="003906D0" w:rsidRPr="003906D0">
        <w:rPr>
          <w:rFonts w:cs="Arial"/>
        </w:rPr>
        <w:t xml:space="preserve"> наглашавају превентивну његу како би се смањили евентуални трошкови недијагностикованих, нелечених медицинских стања.</w:t>
      </w:r>
    </w:p>
    <w:p w:rsidR="003906D0" w:rsidRPr="003906D0" w:rsidRDefault="00915740" w:rsidP="00915740">
      <w:pPr>
        <w:spacing w:before="0"/>
        <w:rPr>
          <w:rFonts w:cs="Arial"/>
        </w:rPr>
      </w:pPr>
      <w:r>
        <w:rPr>
          <w:rFonts w:cs="Arial"/>
          <w:lang/>
        </w:rPr>
        <w:tab/>
      </w:r>
      <w:r w:rsidR="003906D0" w:rsidRPr="003906D0">
        <w:rPr>
          <w:rFonts w:cs="Arial"/>
        </w:rPr>
        <w:t>Порастао је значај програма превентивне заштите: организације за бригу о здрављу (ХМО), пожељне организације за пружање услуга (ППО) и програми са фокусом услуге (ПОС). Индустрија здравствене заштите се окренула реструктурирању ради побољшања финансијских и трошковних перформанси. Преструктурирање се постиже постизањем интегрисаног система испоруке (ИДС). ИДС спаја сегменте пружања здравствене заштите, како вертикално тако и хоризонтално, како би се повећала ефикасност путем рационализације финансијских, управљачких и функција испоруке. Више од 50 посто болница очекује да буду д</w:t>
      </w:r>
      <w:r w:rsidR="00BC2F97">
        <w:rPr>
          <w:rFonts w:cs="Arial"/>
          <w:lang/>
        </w:rPr>
        <w:t>е</w:t>
      </w:r>
      <w:r w:rsidR="003906D0" w:rsidRPr="003906D0">
        <w:rPr>
          <w:rFonts w:cs="Arial"/>
        </w:rPr>
        <w:t xml:space="preserve">о ИДС-а у 2005. години (амерички Одсјек за рад, 2004). Исправно је закључити да ће се промене у здравственој индустрији наставити и утицати на пружање здравствених услуга у смислу трошкова и ефикасности, као и квалитета </w:t>
      </w:r>
      <w:r w:rsidR="00C54819">
        <w:rPr>
          <w:rFonts w:cs="Arial"/>
        </w:rPr>
        <w:t>неге</w:t>
      </w:r>
      <w:r w:rsidR="003906D0" w:rsidRPr="003906D0">
        <w:rPr>
          <w:rFonts w:cs="Arial"/>
        </w:rPr>
        <w:t xml:space="preserve">. </w:t>
      </w:r>
    </w:p>
    <w:p w:rsidR="003906D0" w:rsidRPr="003906D0" w:rsidRDefault="003906D0" w:rsidP="00BD1DFF">
      <w:pPr>
        <w:pStyle w:val="Heading2"/>
      </w:pPr>
      <w:bookmarkStart w:id="6" w:name="_Toc530936619"/>
      <w:r w:rsidRPr="003906D0">
        <w:t>Управљање здравственим услугама</w:t>
      </w:r>
      <w:bookmarkEnd w:id="6"/>
      <w:r w:rsidRPr="003906D0">
        <w:t xml:space="preserve"> </w:t>
      </w:r>
    </w:p>
    <w:p w:rsidR="00421603" w:rsidRDefault="003906D0" w:rsidP="003906D0">
      <w:pPr>
        <w:rPr>
          <w:rFonts w:cs="Arial"/>
          <w:lang/>
        </w:rPr>
      </w:pPr>
      <w:r w:rsidRPr="003906D0">
        <w:rPr>
          <w:rFonts w:cs="Arial"/>
        </w:rPr>
        <w:t xml:space="preserve">С обзиром на велику сложеност, како у природи посла, тако и у околностима у пружању здравствене заштите, менаџери здравствених установа суочавају се са изазовима у погледу свакодневних одлука, као и дугорочних и стратешких. У дисциплини, управљању и унапређењу система и процеса који пружају здравствену заштиту, менаџери се морају ослањати на алате одлучивања – користе се, наиме, специфичне методе које могу помоћи руководиоцима да анализирају, дизајнирају и имплементирају организационе промјене како би се постигла ефикасност, као и висок квалитет </w:t>
      </w:r>
      <w:r w:rsidR="00C54819">
        <w:rPr>
          <w:rFonts w:cs="Arial"/>
        </w:rPr>
        <w:t>неге</w:t>
      </w:r>
      <w:r w:rsidRPr="003906D0">
        <w:rPr>
          <w:rFonts w:cs="Arial"/>
        </w:rPr>
        <w:t xml:space="preserve"> (искористивост) за пацијенте.</w:t>
      </w:r>
    </w:p>
    <w:p w:rsidR="003906D0" w:rsidRDefault="00421603" w:rsidP="00421603">
      <w:pPr>
        <w:spacing w:before="0"/>
        <w:rPr>
          <w:rFonts w:cs="Arial"/>
        </w:rPr>
      </w:pPr>
      <w:r>
        <w:rPr>
          <w:rFonts w:cs="Arial"/>
          <w:lang/>
        </w:rPr>
        <w:tab/>
      </w:r>
      <w:r w:rsidR="003906D0" w:rsidRPr="003906D0">
        <w:rPr>
          <w:rFonts w:cs="Arial"/>
        </w:rPr>
        <w:t xml:space="preserve">Очигледно, стога управљање здравственим установама захтева темељно испитивање и процену. Због тога, менаџери здравствене заштите морају користити доказане научне методе извучене из таквих дисциплина, као што су индустријски инжењеринг, статистика, оперативна истраживања и наука. Међутим, мора се запамтити да такви квантитативни алати сами не формирају коначну одлуку, која можда мора да укључи и друге, квалитативне факторе како би се стигло до праве одлуке. У наредној деценији очекује се повећање броја менаџера у здравству. Према статистичким подацима америчког Министарства рада, који су приказани у </w:t>
      </w:r>
      <w:r w:rsidR="00E94B6D">
        <w:rPr>
          <w:rFonts w:cs="Arial"/>
          <w:lang/>
        </w:rPr>
        <w:t>т</w:t>
      </w:r>
      <w:r w:rsidR="003906D0" w:rsidRPr="003906D0">
        <w:rPr>
          <w:rFonts w:cs="Arial"/>
        </w:rPr>
        <w:t>абели 3, очекује се да раст позиција у здравственој заштити буде нешто већи него код свих занимања у здравству. У 2002. години било је 598.000 менаџера који су запослени у здравственој индустрији, а очекује се да ће се повећати за 31.2 процената у року од десет година. Прецизније, на нивоу највишег и средњег нивоа управљања, у три подгрупе приказане у табели 3, запослено је око 284.000 менаџера здравствене заштите, који чине око 2 процента радне снаге у здравственој заштити.</w:t>
      </w:r>
    </w:p>
    <w:p w:rsidR="00BD1DFF" w:rsidRPr="00BD1DFF" w:rsidRDefault="00BD1DFF" w:rsidP="00E94B6D">
      <w:pPr>
        <w:spacing w:after="120"/>
        <w:jc w:val="center"/>
        <w:rPr>
          <w:rFonts w:cs="Arial"/>
        </w:rPr>
      </w:pPr>
      <w:r w:rsidRPr="003906D0">
        <w:rPr>
          <w:rFonts w:cs="Arial"/>
        </w:rPr>
        <w:t>ТАБЕЛА 3. ЗДРАВСТВЕНЕ УСЛУГЕ ПО ПОЗИЦИЈИ У 2002. ГОДИНИ И ПРОЈЕКТОВАН РАСТ.</w:t>
      </w:r>
    </w:p>
    <w:tbl>
      <w:tblPr>
        <w:tblStyle w:val="TableGrid"/>
        <w:tblW w:w="0" w:type="auto"/>
        <w:jc w:val="center"/>
        <w:tblInd w:w="-596" w:type="dxa"/>
        <w:tblLook w:val="04A0"/>
      </w:tblPr>
      <w:tblGrid>
        <w:gridCol w:w="3035"/>
        <w:gridCol w:w="2621"/>
        <w:gridCol w:w="2819"/>
      </w:tblGrid>
      <w:tr w:rsidR="003906D0" w:rsidRPr="003906D0" w:rsidTr="005463BF">
        <w:trPr>
          <w:jc w:val="center"/>
        </w:trPr>
        <w:tc>
          <w:tcPr>
            <w:tcW w:w="3035" w:type="dxa"/>
          </w:tcPr>
          <w:p w:rsidR="003906D0" w:rsidRPr="003906D0" w:rsidRDefault="003906D0" w:rsidP="00CD0972">
            <w:pPr>
              <w:jc w:val="center"/>
              <w:rPr>
                <w:rFonts w:cs="Arial"/>
              </w:rPr>
            </w:pPr>
            <w:r w:rsidRPr="003906D0">
              <w:rPr>
                <w:rFonts w:cs="Arial"/>
              </w:rPr>
              <w:t>Занимања у здравственим системима</w:t>
            </w:r>
          </w:p>
        </w:tc>
        <w:tc>
          <w:tcPr>
            <w:tcW w:w="2621" w:type="dxa"/>
          </w:tcPr>
          <w:p w:rsidR="003906D0" w:rsidRPr="003906D0" w:rsidRDefault="003906D0" w:rsidP="00CD0972">
            <w:pPr>
              <w:jc w:val="center"/>
              <w:rPr>
                <w:rFonts w:cs="Arial"/>
              </w:rPr>
            </w:pPr>
            <w:r w:rsidRPr="003906D0">
              <w:rPr>
                <w:rFonts w:cs="Arial"/>
              </w:rPr>
              <w:t>Запослени (у хиљадама)</w:t>
            </w:r>
          </w:p>
        </w:tc>
        <w:tc>
          <w:tcPr>
            <w:tcW w:w="2819" w:type="dxa"/>
          </w:tcPr>
          <w:p w:rsidR="003906D0" w:rsidRPr="003906D0" w:rsidRDefault="006B0132" w:rsidP="00CD0972">
            <w:pPr>
              <w:jc w:val="center"/>
              <w:rPr>
                <w:rFonts w:cs="Arial"/>
              </w:rPr>
            </w:pPr>
            <w:r>
              <w:rPr>
                <w:rFonts w:cs="Arial"/>
              </w:rPr>
              <w:t xml:space="preserve">Промена </w:t>
            </w:r>
            <w:r w:rsidR="003906D0" w:rsidRPr="003906D0">
              <w:rPr>
                <w:rFonts w:cs="Arial"/>
              </w:rPr>
              <w:t>у процентима 2002.-2012.</w:t>
            </w:r>
          </w:p>
        </w:tc>
      </w:tr>
      <w:tr w:rsidR="003906D0" w:rsidRPr="003906D0" w:rsidTr="005463BF">
        <w:trPr>
          <w:jc w:val="center"/>
        </w:trPr>
        <w:tc>
          <w:tcPr>
            <w:tcW w:w="3035" w:type="dxa"/>
          </w:tcPr>
          <w:p w:rsidR="003906D0" w:rsidRPr="003906D0" w:rsidRDefault="003906D0" w:rsidP="00CD0972">
            <w:pPr>
              <w:jc w:val="center"/>
              <w:rPr>
                <w:rFonts w:cs="Arial"/>
              </w:rPr>
            </w:pPr>
            <w:r w:rsidRPr="003906D0">
              <w:rPr>
                <w:rFonts w:cs="Arial"/>
              </w:rPr>
              <w:t>Менаџери, пословна и финансијска занимања</w:t>
            </w:r>
          </w:p>
        </w:tc>
        <w:tc>
          <w:tcPr>
            <w:tcW w:w="2621" w:type="dxa"/>
          </w:tcPr>
          <w:p w:rsidR="003906D0" w:rsidRPr="003906D0" w:rsidRDefault="003906D0" w:rsidP="005463BF">
            <w:pPr>
              <w:jc w:val="center"/>
              <w:rPr>
                <w:rFonts w:cs="Arial"/>
              </w:rPr>
            </w:pPr>
            <w:r w:rsidRPr="003906D0">
              <w:rPr>
                <w:rFonts w:cs="Arial"/>
              </w:rPr>
              <w:t>598</w:t>
            </w:r>
          </w:p>
        </w:tc>
        <w:tc>
          <w:tcPr>
            <w:tcW w:w="2819" w:type="dxa"/>
          </w:tcPr>
          <w:p w:rsidR="003906D0" w:rsidRPr="003906D0" w:rsidRDefault="003906D0" w:rsidP="00CD0972">
            <w:pPr>
              <w:jc w:val="center"/>
              <w:rPr>
                <w:rFonts w:cs="Arial"/>
              </w:rPr>
            </w:pPr>
            <w:r w:rsidRPr="003906D0">
              <w:rPr>
                <w:rFonts w:cs="Arial"/>
              </w:rPr>
              <w:t>31.2</w:t>
            </w:r>
          </w:p>
        </w:tc>
      </w:tr>
      <w:tr w:rsidR="003906D0" w:rsidRPr="003906D0" w:rsidTr="005463BF">
        <w:trPr>
          <w:jc w:val="center"/>
        </w:trPr>
        <w:tc>
          <w:tcPr>
            <w:tcW w:w="3035" w:type="dxa"/>
          </w:tcPr>
          <w:p w:rsidR="003906D0" w:rsidRPr="003906D0" w:rsidRDefault="003906D0" w:rsidP="00CD0972">
            <w:pPr>
              <w:jc w:val="center"/>
              <w:rPr>
                <w:rFonts w:cs="Arial"/>
              </w:rPr>
            </w:pPr>
            <w:r w:rsidRPr="003906D0">
              <w:rPr>
                <w:rFonts w:cs="Arial"/>
              </w:rPr>
              <w:t>Генерални и оперативни менаџери</w:t>
            </w:r>
          </w:p>
        </w:tc>
        <w:tc>
          <w:tcPr>
            <w:tcW w:w="2621" w:type="dxa"/>
          </w:tcPr>
          <w:p w:rsidR="003906D0" w:rsidRPr="003906D0" w:rsidRDefault="003906D0" w:rsidP="00CD0972">
            <w:pPr>
              <w:jc w:val="center"/>
              <w:rPr>
                <w:rFonts w:cs="Arial"/>
              </w:rPr>
            </w:pPr>
            <w:r w:rsidRPr="003906D0">
              <w:rPr>
                <w:rFonts w:cs="Arial"/>
              </w:rPr>
              <w:t>81</w:t>
            </w:r>
          </w:p>
        </w:tc>
        <w:tc>
          <w:tcPr>
            <w:tcW w:w="2819" w:type="dxa"/>
          </w:tcPr>
          <w:p w:rsidR="003906D0" w:rsidRPr="003906D0" w:rsidRDefault="003906D0" w:rsidP="00CD0972">
            <w:pPr>
              <w:jc w:val="center"/>
              <w:rPr>
                <w:rFonts w:cs="Arial"/>
              </w:rPr>
            </w:pPr>
            <w:r w:rsidRPr="003906D0">
              <w:rPr>
                <w:rFonts w:cs="Arial"/>
              </w:rPr>
              <w:t>34.1</w:t>
            </w:r>
          </w:p>
        </w:tc>
      </w:tr>
      <w:tr w:rsidR="003906D0" w:rsidRPr="003906D0" w:rsidTr="005463BF">
        <w:trPr>
          <w:jc w:val="center"/>
        </w:trPr>
        <w:tc>
          <w:tcPr>
            <w:tcW w:w="3035" w:type="dxa"/>
          </w:tcPr>
          <w:p w:rsidR="003906D0" w:rsidRPr="003906D0" w:rsidRDefault="003906D0" w:rsidP="00CD0972">
            <w:pPr>
              <w:jc w:val="center"/>
              <w:rPr>
                <w:rFonts w:cs="Arial"/>
              </w:rPr>
            </w:pPr>
            <w:r w:rsidRPr="003906D0">
              <w:rPr>
                <w:rFonts w:cs="Arial"/>
              </w:rPr>
              <w:lastRenderedPageBreak/>
              <w:t>Менаџери у административним услугама</w:t>
            </w:r>
          </w:p>
        </w:tc>
        <w:tc>
          <w:tcPr>
            <w:tcW w:w="2621" w:type="dxa"/>
          </w:tcPr>
          <w:p w:rsidR="003906D0" w:rsidRPr="003906D0" w:rsidRDefault="003906D0" w:rsidP="00CD0972">
            <w:pPr>
              <w:jc w:val="center"/>
              <w:rPr>
                <w:rFonts w:cs="Arial"/>
              </w:rPr>
            </w:pPr>
            <w:r w:rsidRPr="003906D0">
              <w:rPr>
                <w:rFonts w:cs="Arial"/>
              </w:rPr>
              <w:t>32</w:t>
            </w:r>
          </w:p>
        </w:tc>
        <w:tc>
          <w:tcPr>
            <w:tcW w:w="2819" w:type="dxa"/>
          </w:tcPr>
          <w:p w:rsidR="003906D0" w:rsidRPr="003906D0" w:rsidRDefault="003906D0" w:rsidP="00CD0972">
            <w:pPr>
              <w:jc w:val="center"/>
              <w:rPr>
                <w:rFonts w:cs="Arial"/>
              </w:rPr>
            </w:pPr>
            <w:r w:rsidRPr="003906D0">
              <w:rPr>
                <w:rFonts w:cs="Arial"/>
              </w:rPr>
              <w:t>28.4</w:t>
            </w:r>
          </w:p>
        </w:tc>
      </w:tr>
      <w:tr w:rsidR="003906D0" w:rsidRPr="003906D0" w:rsidTr="005463BF">
        <w:trPr>
          <w:jc w:val="center"/>
        </w:trPr>
        <w:tc>
          <w:tcPr>
            <w:tcW w:w="3035" w:type="dxa"/>
          </w:tcPr>
          <w:p w:rsidR="003906D0" w:rsidRPr="003906D0" w:rsidRDefault="003906D0" w:rsidP="00CD0972">
            <w:pPr>
              <w:jc w:val="center"/>
              <w:rPr>
                <w:rFonts w:cs="Arial"/>
              </w:rPr>
            </w:pPr>
            <w:r w:rsidRPr="003906D0">
              <w:rPr>
                <w:rFonts w:cs="Arial"/>
              </w:rPr>
              <w:t>Медицински и менаџери здравствених услуга</w:t>
            </w:r>
          </w:p>
        </w:tc>
        <w:tc>
          <w:tcPr>
            <w:tcW w:w="2621" w:type="dxa"/>
          </w:tcPr>
          <w:p w:rsidR="003906D0" w:rsidRPr="003906D0" w:rsidRDefault="003906D0" w:rsidP="00CD0972">
            <w:pPr>
              <w:jc w:val="center"/>
              <w:rPr>
                <w:rFonts w:cs="Arial"/>
              </w:rPr>
            </w:pPr>
            <w:r w:rsidRPr="003906D0">
              <w:rPr>
                <w:rFonts w:cs="Arial"/>
              </w:rPr>
              <w:t>171</w:t>
            </w:r>
          </w:p>
        </w:tc>
        <w:tc>
          <w:tcPr>
            <w:tcW w:w="2819" w:type="dxa"/>
          </w:tcPr>
          <w:p w:rsidR="003906D0" w:rsidRPr="003906D0" w:rsidRDefault="003906D0" w:rsidP="00CD0972">
            <w:pPr>
              <w:jc w:val="center"/>
              <w:rPr>
                <w:rFonts w:cs="Arial"/>
              </w:rPr>
            </w:pPr>
            <w:r w:rsidRPr="003906D0">
              <w:rPr>
                <w:rFonts w:cs="Arial"/>
              </w:rPr>
              <w:t>34.2</w:t>
            </w:r>
          </w:p>
        </w:tc>
      </w:tr>
      <w:tr w:rsidR="003906D0" w:rsidRPr="003906D0" w:rsidTr="005463BF">
        <w:trPr>
          <w:jc w:val="center"/>
        </w:trPr>
        <w:tc>
          <w:tcPr>
            <w:tcW w:w="3035" w:type="dxa"/>
          </w:tcPr>
          <w:p w:rsidR="003906D0" w:rsidRPr="003906D0" w:rsidRDefault="003906D0" w:rsidP="00CD0972">
            <w:pPr>
              <w:jc w:val="center"/>
              <w:rPr>
                <w:rFonts w:cs="Arial"/>
              </w:rPr>
            </w:pPr>
            <w:r w:rsidRPr="003906D0">
              <w:rPr>
                <w:rFonts w:cs="Arial"/>
              </w:rPr>
              <w:t>........................................</w:t>
            </w:r>
          </w:p>
        </w:tc>
        <w:tc>
          <w:tcPr>
            <w:tcW w:w="2621" w:type="dxa"/>
          </w:tcPr>
          <w:p w:rsidR="003906D0" w:rsidRPr="003906D0" w:rsidRDefault="003906D0" w:rsidP="00CD0972">
            <w:pPr>
              <w:jc w:val="center"/>
              <w:rPr>
                <w:rFonts w:cs="Arial"/>
              </w:rPr>
            </w:pPr>
            <w:r w:rsidRPr="003906D0">
              <w:rPr>
                <w:rFonts w:cs="Arial"/>
              </w:rPr>
              <w:t>................................</w:t>
            </w:r>
          </w:p>
        </w:tc>
        <w:tc>
          <w:tcPr>
            <w:tcW w:w="2819" w:type="dxa"/>
          </w:tcPr>
          <w:p w:rsidR="003906D0" w:rsidRPr="003906D0" w:rsidRDefault="003906D0" w:rsidP="00CD0972">
            <w:pPr>
              <w:jc w:val="center"/>
              <w:rPr>
                <w:rFonts w:cs="Arial"/>
              </w:rPr>
            </w:pPr>
            <w:r w:rsidRPr="003906D0">
              <w:rPr>
                <w:rFonts w:cs="Arial"/>
              </w:rPr>
              <w:t>................................</w:t>
            </w:r>
          </w:p>
        </w:tc>
      </w:tr>
      <w:tr w:rsidR="003906D0" w:rsidRPr="003906D0" w:rsidTr="005463BF">
        <w:trPr>
          <w:jc w:val="center"/>
        </w:trPr>
        <w:tc>
          <w:tcPr>
            <w:tcW w:w="3035" w:type="dxa"/>
          </w:tcPr>
          <w:p w:rsidR="003906D0" w:rsidRPr="003906D0" w:rsidRDefault="003906D0" w:rsidP="00CD0972">
            <w:pPr>
              <w:jc w:val="center"/>
              <w:rPr>
                <w:rFonts w:cs="Arial"/>
              </w:rPr>
            </w:pPr>
            <w:r w:rsidRPr="003906D0">
              <w:rPr>
                <w:rFonts w:cs="Arial"/>
              </w:rPr>
              <w:t>Сва занимања у здравственом систему</w:t>
            </w:r>
          </w:p>
        </w:tc>
        <w:tc>
          <w:tcPr>
            <w:tcW w:w="2621" w:type="dxa"/>
          </w:tcPr>
          <w:p w:rsidR="003906D0" w:rsidRPr="003906D0" w:rsidRDefault="003906D0" w:rsidP="00CD0972">
            <w:pPr>
              <w:jc w:val="center"/>
              <w:rPr>
                <w:rFonts w:cs="Arial"/>
              </w:rPr>
            </w:pPr>
            <w:r w:rsidRPr="003906D0">
              <w:rPr>
                <w:rFonts w:cs="Arial"/>
              </w:rPr>
              <w:t>12.524</w:t>
            </w:r>
          </w:p>
        </w:tc>
        <w:tc>
          <w:tcPr>
            <w:tcW w:w="2819" w:type="dxa"/>
          </w:tcPr>
          <w:p w:rsidR="003906D0" w:rsidRPr="003906D0" w:rsidRDefault="003906D0" w:rsidP="00CD0972">
            <w:pPr>
              <w:jc w:val="center"/>
              <w:rPr>
                <w:rFonts w:cs="Arial"/>
              </w:rPr>
            </w:pPr>
            <w:r w:rsidRPr="003906D0">
              <w:rPr>
                <w:rFonts w:cs="Arial"/>
              </w:rPr>
              <w:t>28.0</w:t>
            </w:r>
          </w:p>
        </w:tc>
      </w:tr>
    </w:tbl>
    <w:p w:rsidR="003906D0" w:rsidRPr="003906D0" w:rsidRDefault="003906D0" w:rsidP="003906D0">
      <w:pPr>
        <w:rPr>
          <w:rFonts w:cs="Arial"/>
        </w:rPr>
      </w:pPr>
      <w:r w:rsidRPr="003906D0">
        <w:rPr>
          <w:rFonts w:cs="Arial"/>
        </w:rPr>
        <w:t xml:space="preserve"> Извор: Одсек за рад у САД (2004). </w:t>
      </w:r>
    </w:p>
    <w:p w:rsidR="003906D0" w:rsidRPr="003906D0" w:rsidRDefault="00E94B6D" w:rsidP="003906D0">
      <w:pPr>
        <w:rPr>
          <w:rFonts w:cs="Arial"/>
        </w:rPr>
      </w:pPr>
      <w:r>
        <w:rPr>
          <w:rFonts w:cs="Arial"/>
          <w:lang/>
        </w:rPr>
        <w:tab/>
      </w:r>
      <w:r w:rsidR="003906D0" w:rsidRPr="003906D0">
        <w:rPr>
          <w:rFonts w:cs="Arial"/>
        </w:rPr>
        <w:t xml:space="preserve">Будући менаџери у здравству, било да су у врху администрације или у административним или клиничким операцијама, доносиће информисане одлуке на основу начина на који се примењују најновије технологије и најновијих информација од система за информисање у менаџменту. Међутим, да би те технике успешно користили, морају схватити и карактеристичне одлике здравствених услуга. </w:t>
      </w:r>
    </w:p>
    <w:p w:rsidR="003906D0" w:rsidRPr="00BD1DFF" w:rsidRDefault="003906D0" w:rsidP="00BD1DFF">
      <w:pPr>
        <w:pStyle w:val="Heading2"/>
      </w:pPr>
      <w:bookmarkStart w:id="7" w:name="_Toc530936620"/>
      <w:r w:rsidRPr="003906D0">
        <w:t>Одлике здравствених услуга</w:t>
      </w:r>
      <w:bookmarkEnd w:id="7"/>
    </w:p>
    <w:p w:rsidR="003906D0" w:rsidRPr="003906D0" w:rsidRDefault="003906D0" w:rsidP="003906D0">
      <w:pPr>
        <w:rPr>
          <w:rFonts w:cs="Arial"/>
        </w:rPr>
      </w:pPr>
      <w:r w:rsidRPr="003906D0">
        <w:rPr>
          <w:rFonts w:cs="Arial"/>
        </w:rPr>
        <w:t xml:space="preserve">Здравствене услуге имају пет главних карактеристика: </w:t>
      </w:r>
    </w:p>
    <w:p w:rsidR="003906D0" w:rsidRPr="00BD1DFF" w:rsidRDefault="003906D0" w:rsidP="00BD1DFF">
      <w:pPr>
        <w:pStyle w:val="ListParagraph"/>
        <w:numPr>
          <w:ilvl w:val="0"/>
          <w:numId w:val="40"/>
        </w:numPr>
        <w:rPr>
          <w:rFonts w:cs="Arial"/>
        </w:rPr>
      </w:pPr>
      <w:r w:rsidRPr="00BD1DFF">
        <w:rPr>
          <w:rFonts w:cs="Arial"/>
        </w:rPr>
        <w:t>учешће пац</w:t>
      </w:r>
      <w:r w:rsidR="0013353F">
        <w:rPr>
          <w:rFonts w:cs="Arial"/>
        </w:rPr>
        <w:t>ијента у процесу пружања услуга</w:t>
      </w:r>
      <w:r w:rsidRPr="00BD1DFF">
        <w:rPr>
          <w:rFonts w:cs="Arial"/>
        </w:rPr>
        <w:t xml:space="preserve"> </w:t>
      </w:r>
    </w:p>
    <w:p w:rsidR="003906D0" w:rsidRPr="00BD1DFF" w:rsidRDefault="0013353F" w:rsidP="00BD1DFF">
      <w:pPr>
        <w:pStyle w:val="ListParagraph"/>
        <w:numPr>
          <w:ilvl w:val="0"/>
          <w:numId w:val="40"/>
        </w:numPr>
        <w:rPr>
          <w:rFonts w:cs="Arial"/>
        </w:rPr>
      </w:pPr>
      <w:r>
        <w:rPr>
          <w:rFonts w:cs="Arial"/>
        </w:rPr>
        <w:t>истовременост</w:t>
      </w:r>
    </w:p>
    <w:p w:rsidR="003906D0" w:rsidRPr="00BD1DFF" w:rsidRDefault="0013353F" w:rsidP="00BD1DFF">
      <w:pPr>
        <w:pStyle w:val="ListParagraph"/>
        <w:numPr>
          <w:ilvl w:val="0"/>
          <w:numId w:val="40"/>
        </w:numPr>
        <w:rPr>
          <w:rFonts w:cs="Arial"/>
        </w:rPr>
      </w:pPr>
      <w:r>
        <w:rPr>
          <w:rFonts w:cs="Arial"/>
        </w:rPr>
        <w:t>могућност да пропадну</w:t>
      </w:r>
    </w:p>
    <w:p w:rsidR="003906D0" w:rsidRPr="00BD1DFF" w:rsidRDefault="0013353F" w:rsidP="00BD1DFF">
      <w:pPr>
        <w:pStyle w:val="ListParagraph"/>
        <w:numPr>
          <w:ilvl w:val="0"/>
          <w:numId w:val="40"/>
        </w:numPr>
        <w:rPr>
          <w:rFonts w:cs="Arial"/>
        </w:rPr>
      </w:pPr>
      <w:r>
        <w:rPr>
          <w:rFonts w:cs="Arial"/>
        </w:rPr>
        <w:t>немогућност</w:t>
      </w:r>
      <w:r w:rsidR="003906D0" w:rsidRPr="00BD1DFF">
        <w:rPr>
          <w:rFonts w:cs="Arial"/>
        </w:rPr>
        <w:t xml:space="preserve"> и</w:t>
      </w:r>
    </w:p>
    <w:p w:rsidR="003906D0" w:rsidRPr="00BD1DFF" w:rsidRDefault="003906D0" w:rsidP="00BD1DFF">
      <w:pPr>
        <w:pStyle w:val="ListParagraph"/>
        <w:numPr>
          <w:ilvl w:val="0"/>
          <w:numId w:val="40"/>
        </w:numPr>
        <w:rPr>
          <w:rFonts w:cs="Arial"/>
        </w:rPr>
      </w:pPr>
      <w:r w:rsidRPr="00BD1DFF">
        <w:rPr>
          <w:rFonts w:cs="Arial"/>
        </w:rPr>
        <w:t>хетерогеност (</w:t>
      </w:r>
      <w:r w:rsidR="0013353F" w:rsidRPr="0013353F">
        <w:rPr>
          <w:rFonts w:cs="Arial"/>
        </w:rPr>
        <w:t>Fitzsimmons and Fitzsimmons</w:t>
      </w:r>
      <w:r w:rsidRPr="00BD1DFF">
        <w:rPr>
          <w:rFonts w:cs="Arial"/>
        </w:rPr>
        <w:t xml:space="preserve">, 2004, стр. 21-25). </w:t>
      </w:r>
    </w:p>
    <w:p w:rsidR="003906D0" w:rsidRPr="003906D0" w:rsidRDefault="00A83636" w:rsidP="003906D0">
      <w:pPr>
        <w:rPr>
          <w:rFonts w:cs="Arial"/>
        </w:rPr>
      </w:pPr>
      <w:r>
        <w:rPr>
          <w:rFonts w:cs="Arial"/>
          <w:lang/>
        </w:rPr>
        <w:tab/>
      </w:r>
      <w:r w:rsidR="003906D0" w:rsidRPr="003906D0">
        <w:rPr>
          <w:rFonts w:cs="Arial"/>
        </w:rPr>
        <w:t xml:space="preserve">Размотримо сваку од ових карактеристика како бисмо боље разумели платформе одлучивања у здравственој заштити. </w:t>
      </w:r>
    </w:p>
    <w:p w:rsidR="003906D0" w:rsidRPr="003906D0" w:rsidRDefault="003906D0" w:rsidP="00BD1DFF">
      <w:pPr>
        <w:pStyle w:val="Heading3"/>
      </w:pPr>
      <w:bookmarkStart w:id="8" w:name="_Toc530936621"/>
      <w:r w:rsidRPr="003906D0">
        <w:t>Учешће пацијента</w:t>
      </w:r>
      <w:bookmarkEnd w:id="8"/>
    </w:p>
    <w:p w:rsidR="003906D0" w:rsidRPr="003906D0" w:rsidRDefault="003906D0" w:rsidP="003906D0">
      <w:pPr>
        <w:rPr>
          <w:rFonts w:cs="Arial"/>
        </w:rPr>
      </w:pPr>
      <w:r w:rsidRPr="003906D0">
        <w:rPr>
          <w:rFonts w:cs="Arial"/>
        </w:rPr>
        <w:t xml:space="preserve">У здравственој заштити, као и у било којој услужној индустрији, да би се проценили учинци (ефикасност), мора се направити разлика између </w:t>
      </w:r>
      <w:r w:rsidR="00690FD7">
        <w:rPr>
          <w:rFonts w:cs="Arial"/>
          <w:lang/>
        </w:rPr>
        <w:t>улаза</w:t>
      </w:r>
      <w:r w:rsidRPr="003906D0">
        <w:rPr>
          <w:rFonts w:cs="Arial"/>
        </w:rPr>
        <w:t xml:space="preserve"> и резултата. Пацијенти (или њихово здравствено стање) који су корисници </w:t>
      </w:r>
      <w:r w:rsidR="00C54819">
        <w:rPr>
          <w:rFonts w:cs="Arial"/>
        </w:rPr>
        <w:t>неге</w:t>
      </w:r>
      <w:r w:rsidRPr="003906D0">
        <w:rPr>
          <w:rFonts w:cs="Arial"/>
        </w:rPr>
        <w:t xml:space="preserve"> су улаз у процес пружања услуга. С друге стране, након дијагнозе и лечења, стање пацијента представља ефикасност здравствене организације - то јест, излаз. Због тога, организација здравствене заштите и пацијент </w:t>
      </w:r>
      <w:r w:rsidR="00033004">
        <w:rPr>
          <w:rFonts w:cs="Arial"/>
          <w:lang/>
        </w:rPr>
        <w:t>узајамно делују</w:t>
      </w:r>
      <w:r w:rsidRPr="003906D0">
        <w:rPr>
          <w:rFonts w:cs="Arial"/>
        </w:rPr>
        <w:t xml:space="preserve"> током пружања </w:t>
      </w:r>
      <w:r w:rsidR="00C54819">
        <w:rPr>
          <w:rFonts w:cs="Arial"/>
        </w:rPr>
        <w:t>неге</w:t>
      </w:r>
      <w:r w:rsidRPr="003906D0">
        <w:rPr>
          <w:rFonts w:cs="Arial"/>
        </w:rPr>
        <w:t xml:space="preserve"> – то је велика разлика здравствене заштите у односу на производну индустрију. </w:t>
      </w:r>
    </w:p>
    <w:p w:rsidR="003906D0" w:rsidRPr="003906D0" w:rsidRDefault="003906D0" w:rsidP="00BD1DFF">
      <w:pPr>
        <w:pStyle w:val="Heading3"/>
      </w:pPr>
      <w:bookmarkStart w:id="9" w:name="_Toc530936622"/>
      <w:r w:rsidRPr="003906D0">
        <w:t>Истовремена производња и потрошња</w:t>
      </w:r>
      <w:bookmarkEnd w:id="9"/>
      <w:r w:rsidRPr="003906D0">
        <w:t xml:space="preserve"> </w:t>
      </w:r>
    </w:p>
    <w:p w:rsidR="003906D0" w:rsidRPr="003906D0" w:rsidRDefault="003906D0" w:rsidP="003906D0">
      <w:pPr>
        <w:rPr>
          <w:rFonts w:cs="Arial"/>
        </w:rPr>
      </w:pPr>
      <w:r w:rsidRPr="003906D0">
        <w:rPr>
          <w:rFonts w:cs="Arial"/>
        </w:rPr>
        <w:t xml:space="preserve">Као сервисна индустрија, здравствена заштита се производи и "конзумира" истовремено. Ова тачка одражава чињеницу да здравље није производ, да се ствара, складишти и прода касније (да ли ће наука то постићи путем генске терапије?). Један од недостатака истоветности "производње" и "потрошње" је изазов за контролу квалитета - односно обезбеђивање ефикасности услуге. У производњи, производ се може прегледати и, ако се нађе грешка, не може бити понуђен на продају; у међувремену је коригован процес који производи лоше резултате. Међутим, у здравственој заштити, због истовремености, </w:t>
      </w:r>
      <w:r w:rsidR="00E362BD">
        <w:rPr>
          <w:rFonts w:cs="Arial"/>
        </w:rPr>
        <w:t>пример</w:t>
      </w:r>
      <w:r w:rsidRPr="003906D0">
        <w:rPr>
          <w:rFonts w:cs="Arial"/>
        </w:rPr>
        <w:t xml:space="preserve"> лошег квалитета услуге не може се "опозвати", иако процес који може резултирати лошом бригом може бити коригован за будуће пацијенте. </w:t>
      </w:r>
    </w:p>
    <w:p w:rsidR="003906D0" w:rsidRPr="003906D0" w:rsidRDefault="003906D0" w:rsidP="00BD1DFF">
      <w:pPr>
        <w:pStyle w:val="Heading3"/>
      </w:pPr>
      <w:bookmarkStart w:id="10" w:name="_Toc530936623"/>
      <w:r w:rsidRPr="003906D0">
        <w:t>Кварљиви капацитети</w:t>
      </w:r>
      <w:bookmarkEnd w:id="10"/>
      <w:r w:rsidRPr="003906D0">
        <w:t xml:space="preserve"> </w:t>
      </w:r>
    </w:p>
    <w:p w:rsidR="0019366E" w:rsidRDefault="003906D0" w:rsidP="003906D0">
      <w:pPr>
        <w:rPr>
          <w:rFonts w:cs="Arial"/>
          <w:lang/>
        </w:rPr>
      </w:pPr>
      <w:r w:rsidRPr="003906D0">
        <w:rPr>
          <w:rFonts w:cs="Arial"/>
        </w:rPr>
        <w:t>Здравствене установе дизајнирају своје услуге да служе са одређеним капацитетом у одређено вриеме. Ако се пројектовани капацитет не користи током тог периода, могућност генерисања прихода од тог капацитета је изгубљена. На пример, размотрите болницу са петнаест оперативних сала које су запослене и отворене дванаест сати. Ако операције нису планиране на одговарајући начин за попуњавање постојећих капацитета, или ако је велики д</w:t>
      </w:r>
      <w:r w:rsidR="00C04DD3">
        <w:rPr>
          <w:rFonts w:cs="Arial"/>
          <w:lang/>
        </w:rPr>
        <w:t>е</w:t>
      </w:r>
      <w:r w:rsidRPr="003906D0">
        <w:rPr>
          <w:rFonts w:cs="Arial"/>
        </w:rPr>
        <w:t xml:space="preserve">о времена </w:t>
      </w:r>
      <w:r w:rsidRPr="003906D0">
        <w:rPr>
          <w:rFonts w:cs="Arial"/>
        </w:rPr>
        <w:lastRenderedPageBreak/>
        <w:t>потрошен у обради случајева, д</w:t>
      </w:r>
      <w:r w:rsidR="0019366E">
        <w:rPr>
          <w:rFonts w:cs="Arial"/>
          <w:lang/>
        </w:rPr>
        <w:t>е</w:t>
      </w:r>
      <w:r w:rsidRPr="003906D0">
        <w:rPr>
          <w:rFonts w:cs="Arial"/>
        </w:rPr>
        <w:t>о расположивог капацитета, а тиме и потенцијални приходи за тај дан, нестај</w:t>
      </w:r>
      <w:r w:rsidR="002D2973">
        <w:rPr>
          <w:rFonts w:cs="Arial"/>
          <w:lang/>
        </w:rPr>
        <w:t>у</w:t>
      </w:r>
      <w:r w:rsidRPr="003906D0">
        <w:rPr>
          <w:rFonts w:cs="Arial"/>
        </w:rPr>
        <w:t>.</w:t>
      </w:r>
    </w:p>
    <w:p w:rsidR="003906D0" w:rsidRPr="003906D0" w:rsidRDefault="0019366E" w:rsidP="0019366E">
      <w:pPr>
        <w:spacing w:before="0"/>
        <w:rPr>
          <w:rFonts w:cs="Arial"/>
        </w:rPr>
      </w:pPr>
      <w:r>
        <w:rPr>
          <w:rFonts w:cs="Arial"/>
          <w:lang/>
        </w:rPr>
        <w:tab/>
      </w:r>
      <w:r w:rsidR="003906D0" w:rsidRPr="003906D0">
        <w:rPr>
          <w:rFonts w:cs="Arial"/>
        </w:rPr>
        <w:t xml:space="preserve">Слично томе, посматрајмо </w:t>
      </w:r>
      <w:r>
        <w:rPr>
          <w:rFonts w:cs="Arial"/>
          <w:lang/>
        </w:rPr>
        <w:t>л</w:t>
      </w:r>
      <w:r w:rsidR="003906D0" w:rsidRPr="003906D0">
        <w:rPr>
          <w:rFonts w:cs="Arial"/>
        </w:rPr>
        <w:t>екарску ординацију са расположивим распоредом од десет сати за посете пацијената. Ако ординација не прими захтеве за попуњавање свих тих временских термина, капацитет те ординације за тај дан ће се смањити, као и приходи.</w:t>
      </w:r>
    </w:p>
    <w:p w:rsidR="003906D0" w:rsidRPr="003906D0" w:rsidRDefault="003906D0" w:rsidP="00BD1DFF">
      <w:pPr>
        <w:pStyle w:val="Heading3"/>
      </w:pPr>
      <w:bookmarkStart w:id="11" w:name="_Toc530936624"/>
      <w:r w:rsidRPr="003906D0">
        <w:t>Нематеријална природа резултата здравствене заштите</w:t>
      </w:r>
      <w:bookmarkEnd w:id="11"/>
      <w:r w:rsidRPr="003906D0">
        <w:t xml:space="preserve"> </w:t>
      </w:r>
    </w:p>
    <w:p w:rsidR="003906D0" w:rsidRPr="003906D0" w:rsidRDefault="003906D0" w:rsidP="003906D0">
      <w:pPr>
        <w:rPr>
          <w:rFonts w:cs="Arial"/>
        </w:rPr>
      </w:pPr>
      <w:r w:rsidRPr="003906D0">
        <w:rPr>
          <w:rFonts w:cs="Arial"/>
        </w:rPr>
        <w:t xml:space="preserve">Резултат у здравственој заштити не обухвата опипљиви производ, као што је нпр. храна која је купљена у нашем омиљеном ресторану брзе хране, гдје можемо проценити квалитет хране, као и брзину услуге. У здравственој заштити није толико очигледно шта је пацијент платио. Чињеница је, пошто процес лечења временски траје, да се мишљење пацијената о квалитету услуге здравствене </w:t>
      </w:r>
      <w:r w:rsidR="00C54819">
        <w:rPr>
          <w:rFonts w:cs="Arial"/>
        </w:rPr>
        <w:t>неге</w:t>
      </w:r>
      <w:r w:rsidRPr="003906D0">
        <w:rPr>
          <w:rFonts w:cs="Arial"/>
        </w:rPr>
        <w:t xml:space="preserve"> која им је пружена формира током времена. Штавише, здравствена заштита није нешто што се може тестирати или предузети пре одлучивања о томе. Иако групе за праћење здравствених услуга, као и здравствене установе у свом маркетингу, могу пружити информације о квалитету услуга неке установе, искуство једног пацијента ипак не може бити једнако другом иако добијају исту услугу, јер услови и перцепције пацијената никада нису идентични. </w:t>
      </w:r>
    </w:p>
    <w:p w:rsidR="003906D0" w:rsidRPr="003906D0" w:rsidRDefault="003906D0" w:rsidP="00BD1DFF">
      <w:pPr>
        <w:pStyle w:val="Heading3"/>
        <w:jc w:val="both"/>
      </w:pPr>
      <w:bookmarkStart w:id="12" w:name="_Toc530936625"/>
      <w:r w:rsidRPr="003906D0">
        <w:t>Неопходни високи нивои процене и хетерогена природа здравствене заштите</w:t>
      </w:r>
      <w:bookmarkEnd w:id="12"/>
      <w:r w:rsidRPr="003906D0">
        <w:t xml:space="preserve"> </w:t>
      </w:r>
    </w:p>
    <w:p w:rsidR="003906D0" w:rsidRPr="003906D0" w:rsidRDefault="003906D0" w:rsidP="003906D0">
      <w:pPr>
        <w:rPr>
          <w:rFonts w:cs="Arial"/>
        </w:rPr>
      </w:pPr>
      <w:r w:rsidRPr="003906D0">
        <w:rPr>
          <w:rFonts w:cs="Arial"/>
        </w:rPr>
        <w:t xml:space="preserve">Иако се неки рутински задаци здравствене заштите могу аутоматизовати (евидентирање историје пацијента путем ИТ-а), остаје широки спектар задатака који захтевају висок степен процене, личну интеракцију, и појединачна прилагођавања, чак и у датој категорији услуга. На </w:t>
      </w:r>
      <w:r w:rsidR="00E362BD">
        <w:rPr>
          <w:rFonts w:cs="Arial"/>
        </w:rPr>
        <w:t>пример</w:t>
      </w:r>
      <w:r w:rsidRPr="003906D0">
        <w:rPr>
          <w:rFonts w:cs="Arial"/>
        </w:rPr>
        <w:t xml:space="preserve">, хирург и анестезиолог морају да донесу конкретне одлуке пре операције, како би планирали операцију у односу на одређено стање пацијента. Хетерогеност услова пацијената, која је већ запажена, често захтева значајне специфичности у пружању здравствене </w:t>
      </w:r>
      <w:r w:rsidR="00C54819">
        <w:rPr>
          <w:rFonts w:cs="Arial"/>
        </w:rPr>
        <w:t>неге</w:t>
      </w:r>
      <w:r w:rsidRPr="003906D0">
        <w:rPr>
          <w:rFonts w:cs="Arial"/>
        </w:rPr>
        <w:t xml:space="preserve">. Чак и имајући у виду ове посебне карактеристике здравствене заштите, менаџери раде заједно са клиничарима како би стандардизовали поступке здравствених установа, како за ефикасност тако и за ефективност. </w:t>
      </w:r>
      <w:r w:rsidR="00E362BD">
        <w:rPr>
          <w:rFonts w:cs="Arial"/>
        </w:rPr>
        <w:t>Пример</w:t>
      </w:r>
      <w:r w:rsidRPr="003906D0">
        <w:rPr>
          <w:rFonts w:cs="Arial"/>
        </w:rPr>
        <w:t xml:space="preserve">и такве стандардизације су дијагностички и третмански протоколи развијени за третмане различитих болести. </w:t>
      </w:r>
    </w:p>
    <w:p w:rsidR="003906D0" w:rsidRPr="003906D0" w:rsidRDefault="003906D0" w:rsidP="000839A3">
      <w:pPr>
        <w:pStyle w:val="Heading2"/>
      </w:pPr>
      <w:bookmarkStart w:id="13" w:name="_Toc530936626"/>
      <w:r w:rsidRPr="003906D0">
        <w:t>Резиме</w:t>
      </w:r>
      <w:bookmarkEnd w:id="13"/>
      <w:r w:rsidRPr="003906D0">
        <w:t xml:space="preserve"> </w:t>
      </w:r>
    </w:p>
    <w:p w:rsidR="005A47BF" w:rsidRPr="00374ACF" w:rsidRDefault="003906D0" w:rsidP="003906D0">
      <w:pPr>
        <w:rPr>
          <w:rFonts w:cs="Arial"/>
          <w:lang/>
        </w:rPr>
      </w:pPr>
      <w:r w:rsidRPr="003906D0">
        <w:rPr>
          <w:rFonts w:cs="Arial"/>
        </w:rPr>
        <w:t>Савремене здравствене службе морају препознати карактеристике здравствених услуга и користити најсавременије технике у доношењу одлука помоћу најновијих доступних информација за планирање и организовање својих објеката у циљу пружања најбоље бриге о пацијентима.</w:t>
      </w:r>
    </w:p>
    <w:sectPr w:rsidR="005A47BF" w:rsidRPr="00374ACF" w:rsidSect="00132F9E">
      <w:headerReference w:type="default" r:id="rId8"/>
      <w:footerReference w:type="default" r:id="rId9"/>
      <w:headerReference w:type="first" r:id="rId10"/>
      <w:pgSz w:w="11907" w:h="16840" w:code="9"/>
      <w:pgMar w:top="1440" w:right="1418" w:bottom="1440" w:left="1418"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3C87" w:rsidRDefault="001B3C87">
      <w:r>
        <w:separator/>
      </w:r>
    </w:p>
  </w:endnote>
  <w:endnote w:type="continuationSeparator" w:id="1">
    <w:p w:rsidR="001B3C87" w:rsidRDefault="001B3C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C3" w:rsidRDefault="00520B94" w:rsidP="00AF0E79">
    <w:pPr>
      <w:pStyle w:val="Footer"/>
      <w:framePr w:wrap="around" w:vAnchor="text" w:hAnchor="margin" w:xAlign="right" w:y="1"/>
      <w:rPr>
        <w:rStyle w:val="PageNumber"/>
      </w:rPr>
    </w:pPr>
    <w:r>
      <w:rPr>
        <w:rStyle w:val="PageNumber"/>
      </w:rPr>
      <w:fldChar w:fldCharType="begin"/>
    </w:r>
    <w:r w:rsidR="003E3CC3">
      <w:rPr>
        <w:rStyle w:val="PageNumber"/>
      </w:rPr>
      <w:instrText xml:space="preserve">PAGE  </w:instrText>
    </w:r>
    <w:r>
      <w:rPr>
        <w:rStyle w:val="PageNumber"/>
      </w:rPr>
      <w:fldChar w:fldCharType="separate"/>
    </w:r>
    <w:r w:rsidR="00E81CBC">
      <w:rPr>
        <w:rStyle w:val="PageNumber"/>
        <w:noProof/>
      </w:rPr>
      <w:t>1</w:t>
    </w:r>
    <w:r>
      <w:rPr>
        <w:rStyle w:val="PageNumber"/>
      </w:rPr>
      <w:fldChar w:fldCharType="end"/>
    </w:r>
    <w:r w:rsidR="003E3CC3">
      <w:rPr>
        <w:rStyle w:val="PageNumber"/>
      </w:rPr>
      <w:t>/</w:t>
    </w:r>
    <w:r>
      <w:rPr>
        <w:rStyle w:val="PageNumber"/>
      </w:rPr>
      <w:fldChar w:fldCharType="begin"/>
    </w:r>
    <w:r w:rsidR="003E3CC3">
      <w:rPr>
        <w:rStyle w:val="PageNumber"/>
      </w:rPr>
      <w:instrText xml:space="preserve"> NUMPAGES </w:instrText>
    </w:r>
    <w:r>
      <w:rPr>
        <w:rStyle w:val="PageNumber"/>
      </w:rPr>
      <w:fldChar w:fldCharType="separate"/>
    </w:r>
    <w:r w:rsidR="00E81CBC">
      <w:rPr>
        <w:rStyle w:val="PageNumber"/>
        <w:noProof/>
      </w:rPr>
      <w:t>8</w:t>
    </w:r>
    <w:r>
      <w:rPr>
        <w:rStyle w:val="PageNumber"/>
      </w:rPr>
      <w:fldChar w:fldCharType="end"/>
    </w:r>
  </w:p>
  <w:p w:rsidR="003E3CC3" w:rsidRPr="00AF0E79" w:rsidRDefault="00520B94" w:rsidP="00AF0E79">
    <w:pPr>
      <w:pStyle w:val="Footer"/>
      <w:ind w:right="360"/>
      <w:rPr>
        <w:sz w:val="16"/>
        <w:szCs w:val="16"/>
      </w:rPr>
    </w:pPr>
    <w:r>
      <w:rPr>
        <w:noProof/>
        <w:sz w:val="16"/>
        <w:szCs w:val="16"/>
        <w:lang w:val="en-US"/>
      </w:rPr>
      <w:pict>
        <v:line id="_x0000_s1026" style="position:absolute;left:0;text-align:left;z-index:251658752" from="0,3.5pt" to="456pt,3.5pt"/>
      </w:pict>
    </w:r>
    <w:r w:rsidR="003E3CC3" w:rsidRPr="00FC1F3E">
      <w:rPr>
        <w:noProof/>
        <w:sz w:val="16"/>
        <w:szCs w:val="16"/>
        <w:lang w:val="en-US"/>
      </w:rPr>
      <w:t>Назив предавања: &lt;</w:t>
    </w:r>
    <w:r w:rsidR="00E27098" w:rsidRPr="00E27098">
      <w:t xml:space="preserve"> </w:t>
    </w:r>
    <w:r w:rsidR="00D617E5" w:rsidRPr="00D617E5">
      <w:rPr>
        <w:noProof/>
        <w:sz w:val="16"/>
        <w:szCs w:val="16"/>
        <w:lang w:val="sr-Cyrl-CS"/>
      </w:rPr>
      <w:t xml:space="preserve">Упознавање са квантитативним методима </w:t>
    </w:r>
    <w:r w:rsidR="003E3CC3" w:rsidRPr="00FC1F3E">
      <w:rPr>
        <w:noProof/>
        <w:sz w:val="16"/>
        <w:szCs w:val="16"/>
        <w:lang w:val="en-US"/>
      </w:rPr>
      <w:t>&gt;</w:t>
    </w:r>
    <w:r w:rsidR="003E3CC3" w:rsidRPr="001653E0">
      <w:rPr>
        <w:sz w:val="16"/>
        <w:szCs w:val="16"/>
        <w:lang w:val="sr-Latn-CS"/>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3C87" w:rsidRDefault="001B3C87">
      <w:r>
        <w:separator/>
      </w:r>
    </w:p>
  </w:footnote>
  <w:footnote w:type="continuationSeparator" w:id="1">
    <w:p w:rsidR="001B3C87" w:rsidRDefault="001B3C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C3" w:rsidRDefault="003E3CC3" w:rsidP="00AF0E79">
    <w:pPr>
      <w:pStyle w:val="Header"/>
      <w:spacing w:before="0"/>
      <w:rPr>
        <w:lang w:val="es-ES"/>
      </w:rPr>
    </w:pPr>
    <w:r>
      <w:rPr>
        <w:lang w:val="es-ES"/>
      </w:rPr>
      <w:t xml:space="preserve">                  </w:t>
    </w:r>
  </w:p>
  <w:p w:rsidR="003E3CC3" w:rsidRPr="00BA7A03" w:rsidRDefault="003E3CC3" w:rsidP="00AF0E79">
    <w:pPr>
      <w:pStyle w:val="Header"/>
      <w:spacing w:before="0"/>
      <w:rPr>
        <w:b/>
        <w:sz w:val="16"/>
        <w:szCs w:val="16"/>
        <w:lang w:val="sr-Cyrl-CS"/>
      </w:rPr>
    </w:pPr>
    <w:r w:rsidRPr="000647CD">
      <w:rPr>
        <w:sz w:val="16"/>
        <w:szCs w:val="16"/>
        <w:lang w:val="es-ES"/>
      </w:rPr>
      <w:t>&lt;</w:t>
    </w:r>
    <w:r w:rsidRPr="008C56D8">
      <w:rPr>
        <w:sz w:val="16"/>
        <w:szCs w:val="16"/>
        <w:lang w:val="es-ES"/>
      </w:rPr>
      <w:t xml:space="preserve"> </w:t>
    </w:r>
    <w:r w:rsidRPr="00EF3EAD">
      <w:rPr>
        <w:sz w:val="16"/>
        <w:szCs w:val="16"/>
        <w:lang w:val="es-ES"/>
      </w:rPr>
      <w:t xml:space="preserve">КВАНТИТАТИВНЕ МЕТОДЕ ЗА ЗДРАВСТВЕНЕ ОРГАНИЗАЦИЈЕ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sidR="00E27098">
      <w:rPr>
        <w:b/>
        <w:sz w:val="16"/>
        <w:szCs w:val="16"/>
        <w:lang w:val="sr-Cyrl-CS"/>
      </w:rPr>
      <w:t>1</w:t>
    </w:r>
    <w:r w:rsidR="00655285">
      <w:rPr>
        <w:b/>
        <w:sz w:val="16"/>
        <w:szCs w:val="16"/>
        <w:lang w:val="sr-Cyrl-CS"/>
      </w:rPr>
      <w:t>2</w:t>
    </w:r>
  </w:p>
  <w:p w:rsidR="003E3CC3" w:rsidRPr="00AF0E79" w:rsidRDefault="00520B94" w:rsidP="00AF0E79">
    <w:pPr>
      <w:pStyle w:val="Header"/>
      <w:spacing w:before="0"/>
    </w:pPr>
    <w:r>
      <w:rPr>
        <w:noProof/>
        <w:lang w:val="en-US"/>
      </w:rPr>
      <w:pict>
        <v:line id="_x0000_s1028" style="position:absolute;left:0;text-align:left;z-index:251656704" from="-2pt,6.3pt" to="454pt,6.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C3" w:rsidRDefault="003E3CC3" w:rsidP="00AF0E79">
    <w:pPr>
      <w:pStyle w:val="Header"/>
      <w:spacing w:before="0"/>
      <w:rPr>
        <w:lang w:val="es-ES"/>
      </w:rPr>
    </w:pPr>
    <w:r>
      <w:rPr>
        <w:lang w:val="es-ES"/>
      </w:rPr>
      <w:t xml:space="preserve">                  </w:t>
    </w:r>
  </w:p>
  <w:p w:rsidR="003E3CC3" w:rsidRPr="00BA7A03" w:rsidRDefault="003E3CC3" w:rsidP="00AF0E79">
    <w:pPr>
      <w:pStyle w:val="Header"/>
      <w:spacing w:before="0"/>
      <w:rPr>
        <w:b/>
        <w:sz w:val="16"/>
        <w:szCs w:val="16"/>
        <w:lang w:val="sr-Cyrl-CS"/>
      </w:rPr>
    </w:pPr>
    <w:r w:rsidRPr="000647CD">
      <w:rPr>
        <w:sz w:val="16"/>
        <w:szCs w:val="16"/>
        <w:lang w:val="es-ES"/>
      </w:rPr>
      <w:t>&lt;</w:t>
    </w:r>
    <w:r w:rsidRPr="008C56D8">
      <w:rPr>
        <w:sz w:val="16"/>
        <w:szCs w:val="16"/>
        <w:lang w:val="es-ES"/>
      </w:rPr>
      <w:t xml:space="preserve"> </w:t>
    </w:r>
    <w:r w:rsidRPr="00EF3EAD">
      <w:rPr>
        <w:sz w:val="16"/>
        <w:szCs w:val="16"/>
        <w:lang w:val="es-ES"/>
      </w:rPr>
      <w:t xml:space="preserve">КВАНТИТАТИВНЕ МЕТОДЕ ЗА ЗДРАВСТВЕНЕ ОРГАНИЗАЦИЈЕ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Pr>
        <w:b/>
        <w:sz w:val="16"/>
        <w:szCs w:val="16"/>
        <w:lang w:val="sr-Cyrl-CS"/>
      </w:rPr>
      <w:t>9</w:t>
    </w:r>
  </w:p>
  <w:p w:rsidR="003E3CC3" w:rsidRPr="00AF0E79" w:rsidRDefault="00520B94" w:rsidP="00AF0E79">
    <w:pPr>
      <w:pStyle w:val="Header"/>
      <w:spacing w:before="0"/>
    </w:pPr>
    <w:r>
      <w:rPr>
        <w:noProof/>
        <w:lang w:val="en-US"/>
      </w:rPr>
      <w:pict>
        <v:line id="_x0000_s1027" style="position:absolute;left:0;text-align:left;z-index:251657728" from="-2pt,6.3pt" to="454pt,6.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24A7"/>
    <w:multiLevelType w:val="multilevel"/>
    <w:tmpl w:val="A5F2D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49668C"/>
    <w:multiLevelType w:val="hybridMultilevel"/>
    <w:tmpl w:val="366E69B6"/>
    <w:lvl w:ilvl="0" w:tplc="FB243EF8">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A7C8A"/>
    <w:multiLevelType w:val="hybridMultilevel"/>
    <w:tmpl w:val="23AAB5F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
    <w:nsid w:val="04211DC9"/>
    <w:multiLevelType w:val="hybridMultilevel"/>
    <w:tmpl w:val="74D2FDFE"/>
    <w:lvl w:ilvl="0" w:tplc="7CA0ADF4">
      <w:start w:val="1"/>
      <w:numFmt w:val="decimal"/>
      <w:lvlText w:val="%1."/>
      <w:lvlJc w:val="left"/>
      <w:pPr>
        <w:tabs>
          <w:tab w:val="num" w:pos="720"/>
        </w:tabs>
        <w:ind w:left="720" w:hanging="360"/>
      </w:pPr>
      <w:rPr>
        <w:rFonts w:hint="default"/>
        <w:b/>
      </w:rPr>
    </w:lvl>
    <w:lvl w:ilvl="1" w:tplc="A134B4C0">
      <w:start w:val="1"/>
      <w:numFmt w:val="bullet"/>
      <w:lvlText w:val=""/>
      <w:lvlJc w:val="left"/>
      <w:pPr>
        <w:tabs>
          <w:tab w:val="num" w:pos="1440"/>
        </w:tabs>
        <w:ind w:left="1440" w:hanging="360"/>
      </w:pPr>
      <w:rPr>
        <w:rFonts w:ascii="Symbol" w:hAnsi="Symbol" w:hint="default"/>
        <w:b/>
        <w:sz w:val="16"/>
      </w:r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4">
    <w:nsid w:val="06E366FE"/>
    <w:multiLevelType w:val="multilevel"/>
    <w:tmpl w:val="F88EE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67026B"/>
    <w:multiLevelType w:val="hybridMultilevel"/>
    <w:tmpl w:val="ECDE9842"/>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6">
    <w:nsid w:val="0A4D6BC8"/>
    <w:multiLevelType w:val="multilevel"/>
    <w:tmpl w:val="108AEB92"/>
    <w:lvl w:ilvl="0">
      <w:start w:val="1"/>
      <w:numFmt w:val="decimal"/>
      <w:lvlText w:val="%1."/>
      <w:lvlJc w:val="left"/>
      <w:pPr>
        <w:tabs>
          <w:tab w:val="num" w:pos="360"/>
        </w:tabs>
        <w:ind w:left="360" w:hanging="360"/>
      </w:pPr>
      <w:rPr>
        <w:rFont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0AC37CB6"/>
    <w:multiLevelType w:val="hybridMultilevel"/>
    <w:tmpl w:val="4BD0F4D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8">
    <w:nsid w:val="0E4362B7"/>
    <w:multiLevelType w:val="hybridMultilevel"/>
    <w:tmpl w:val="B0E4A14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9">
    <w:nsid w:val="134E3A9D"/>
    <w:multiLevelType w:val="hybridMultilevel"/>
    <w:tmpl w:val="D7A09A96"/>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0">
    <w:nsid w:val="1E067ADF"/>
    <w:multiLevelType w:val="hybridMultilevel"/>
    <w:tmpl w:val="304E9D6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1">
    <w:nsid w:val="1F245A33"/>
    <w:multiLevelType w:val="multilevel"/>
    <w:tmpl w:val="3B0C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AF794D"/>
    <w:multiLevelType w:val="multilevel"/>
    <w:tmpl w:val="941C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CB2980"/>
    <w:multiLevelType w:val="hybridMultilevel"/>
    <w:tmpl w:val="C366D5CE"/>
    <w:lvl w:ilvl="0" w:tplc="A134B4C0">
      <w:start w:val="1"/>
      <w:numFmt w:val="bullet"/>
      <w:lvlText w:val=""/>
      <w:lvlJc w:val="left"/>
      <w:pPr>
        <w:tabs>
          <w:tab w:val="num" w:pos="720"/>
        </w:tabs>
        <w:ind w:left="720" w:hanging="360"/>
      </w:pPr>
      <w:rPr>
        <w:rFonts w:ascii="Symbol" w:hAnsi="Symbol" w:hint="default"/>
        <w:sz w:val="16"/>
      </w:rPr>
    </w:lvl>
    <w:lvl w:ilvl="1" w:tplc="DE24A938">
      <w:numFmt w:val="bullet"/>
      <w:lvlText w:val="–"/>
      <w:lvlJc w:val="left"/>
      <w:pPr>
        <w:tabs>
          <w:tab w:val="num" w:pos="3180"/>
        </w:tabs>
        <w:ind w:left="3180" w:hanging="2100"/>
      </w:pPr>
      <w:rPr>
        <w:rFonts w:ascii="Arial" w:eastAsia="Times New Roman" w:hAnsi="Arial" w:cs="Arial"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4">
    <w:nsid w:val="251D008D"/>
    <w:multiLevelType w:val="hybridMultilevel"/>
    <w:tmpl w:val="B10E0AC0"/>
    <w:lvl w:ilvl="0" w:tplc="B540CD56">
      <w:start w:val="1"/>
      <w:numFmt w:val="decimal"/>
      <w:lvlText w:val="%1."/>
      <w:lvlJc w:val="left"/>
      <w:pPr>
        <w:tabs>
          <w:tab w:val="num" w:pos="1070"/>
        </w:tabs>
        <w:ind w:left="1070" w:hanging="360"/>
      </w:pPr>
      <w:rPr>
        <w:rFonts w:ascii="Arial" w:hAnsi="Arial" w:hint="default"/>
        <w:sz w:val="20"/>
      </w:rPr>
    </w:lvl>
    <w:lvl w:ilvl="1" w:tplc="081A0019" w:tentative="1">
      <w:start w:val="1"/>
      <w:numFmt w:val="lowerLetter"/>
      <w:lvlText w:val="%2."/>
      <w:lvlJc w:val="left"/>
      <w:pPr>
        <w:tabs>
          <w:tab w:val="num" w:pos="2150"/>
        </w:tabs>
        <w:ind w:left="2150" w:hanging="360"/>
      </w:pPr>
    </w:lvl>
    <w:lvl w:ilvl="2" w:tplc="081A001B" w:tentative="1">
      <w:start w:val="1"/>
      <w:numFmt w:val="lowerRoman"/>
      <w:lvlText w:val="%3."/>
      <w:lvlJc w:val="right"/>
      <w:pPr>
        <w:tabs>
          <w:tab w:val="num" w:pos="2870"/>
        </w:tabs>
        <w:ind w:left="2870" w:hanging="180"/>
      </w:pPr>
    </w:lvl>
    <w:lvl w:ilvl="3" w:tplc="081A000F" w:tentative="1">
      <w:start w:val="1"/>
      <w:numFmt w:val="decimal"/>
      <w:lvlText w:val="%4."/>
      <w:lvlJc w:val="left"/>
      <w:pPr>
        <w:tabs>
          <w:tab w:val="num" w:pos="3590"/>
        </w:tabs>
        <w:ind w:left="3590" w:hanging="360"/>
      </w:pPr>
    </w:lvl>
    <w:lvl w:ilvl="4" w:tplc="081A0019" w:tentative="1">
      <w:start w:val="1"/>
      <w:numFmt w:val="lowerLetter"/>
      <w:lvlText w:val="%5."/>
      <w:lvlJc w:val="left"/>
      <w:pPr>
        <w:tabs>
          <w:tab w:val="num" w:pos="4310"/>
        </w:tabs>
        <w:ind w:left="4310" w:hanging="360"/>
      </w:pPr>
    </w:lvl>
    <w:lvl w:ilvl="5" w:tplc="081A001B" w:tentative="1">
      <w:start w:val="1"/>
      <w:numFmt w:val="lowerRoman"/>
      <w:lvlText w:val="%6."/>
      <w:lvlJc w:val="right"/>
      <w:pPr>
        <w:tabs>
          <w:tab w:val="num" w:pos="5030"/>
        </w:tabs>
        <w:ind w:left="5030" w:hanging="180"/>
      </w:pPr>
    </w:lvl>
    <w:lvl w:ilvl="6" w:tplc="081A000F" w:tentative="1">
      <w:start w:val="1"/>
      <w:numFmt w:val="decimal"/>
      <w:lvlText w:val="%7."/>
      <w:lvlJc w:val="left"/>
      <w:pPr>
        <w:tabs>
          <w:tab w:val="num" w:pos="5750"/>
        </w:tabs>
        <w:ind w:left="5750" w:hanging="360"/>
      </w:pPr>
    </w:lvl>
    <w:lvl w:ilvl="7" w:tplc="081A0019" w:tentative="1">
      <w:start w:val="1"/>
      <w:numFmt w:val="lowerLetter"/>
      <w:lvlText w:val="%8."/>
      <w:lvlJc w:val="left"/>
      <w:pPr>
        <w:tabs>
          <w:tab w:val="num" w:pos="6470"/>
        </w:tabs>
        <w:ind w:left="6470" w:hanging="360"/>
      </w:pPr>
    </w:lvl>
    <w:lvl w:ilvl="8" w:tplc="081A001B" w:tentative="1">
      <w:start w:val="1"/>
      <w:numFmt w:val="lowerRoman"/>
      <w:lvlText w:val="%9."/>
      <w:lvlJc w:val="right"/>
      <w:pPr>
        <w:tabs>
          <w:tab w:val="num" w:pos="7190"/>
        </w:tabs>
        <w:ind w:left="7190" w:hanging="180"/>
      </w:pPr>
    </w:lvl>
  </w:abstractNum>
  <w:abstractNum w:abstractNumId="15">
    <w:nsid w:val="28AB56B6"/>
    <w:multiLevelType w:val="hybridMultilevel"/>
    <w:tmpl w:val="990AADBE"/>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6">
    <w:nsid w:val="2DA72680"/>
    <w:multiLevelType w:val="hybridMultilevel"/>
    <w:tmpl w:val="7722EC2C"/>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7">
    <w:nsid w:val="30BA0A3C"/>
    <w:multiLevelType w:val="hybridMultilevel"/>
    <w:tmpl w:val="C00412CE"/>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8">
    <w:nsid w:val="3A06369E"/>
    <w:multiLevelType w:val="hybridMultilevel"/>
    <w:tmpl w:val="EED88210"/>
    <w:lvl w:ilvl="0" w:tplc="03F415AC">
      <w:start w:val="1"/>
      <w:numFmt w:val="decimal"/>
      <w:lvlText w:val="%1."/>
      <w:lvlJc w:val="left"/>
      <w:pPr>
        <w:tabs>
          <w:tab w:val="num" w:pos="720"/>
        </w:tabs>
        <w:ind w:left="720" w:hanging="360"/>
      </w:pPr>
    </w:lvl>
    <w:lvl w:ilvl="1" w:tplc="DC0C4928" w:tentative="1">
      <w:start w:val="1"/>
      <w:numFmt w:val="decimal"/>
      <w:lvlText w:val="%2."/>
      <w:lvlJc w:val="left"/>
      <w:pPr>
        <w:tabs>
          <w:tab w:val="num" w:pos="1440"/>
        </w:tabs>
        <w:ind w:left="1440" w:hanging="360"/>
      </w:pPr>
    </w:lvl>
    <w:lvl w:ilvl="2" w:tplc="F94A3472" w:tentative="1">
      <w:start w:val="1"/>
      <w:numFmt w:val="decimal"/>
      <w:lvlText w:val="%3."/>
      <w:lvlJc w:val="left"/>
      <w:pPr>
        <w:tabs>
          <w:tab w:val="num" w:pos="2160"/>
        </w:tabs>
        <w:ind w:left="2160" w:hanging="360"/>
      </w:pPr>
    </w:lvl>
    <w:lvl w:ilvl="3" w:tplc="4C862276" w:tentative="1">
      <w:start w:val="1"/>
      <w:numFmt w:val="decimal"/>
      <w:lvlText w:val="%4."/>
      <w:lvlJc w:val="left"/>
      <w:pPr>
        <w:tabs>
          <w:tab w:val="num" w:pos="2880"/>
        </w:tabs>
        <w:ind w:left="2880" w:hanging="360"/>
      </w:pPr>
    </w:lvl>
    <w:lvl w:ilvl="4" w:tplc="4A74A85C" w:tentative="1">
      <w:start w:val="1"/>
      <w:numFmt w:val="decimal"/>
      <w:lvlText w:val="%5."/>
      <w:lvlJc w:val="left"/>
      <w:pPr>
        <w:tabs>
          <w:tab w:val="num" w:pos="3600"/>
        </w:tabs>
        <w:ind w:left="3600" w:hanging="360"/>
      </w:pPr>
    </w:lvl>
    <w:lvl w:ilvl="5" w:tplc="8334F09C" w:tentative="1">
      <w:start w:val="1"/>
      <w:numFmt w:val="decimal"/>
      <w:lvlText w:val="%6."/>
      <w:lvlJc w:val="left"/>
      <w:pPr>
        <w:tabs>
          <w:tab w:val="num" w:pos="4320"/>
        </w:tabs>
        <w:ind w:left="4320" w:hanging="360"/>
      </w:pPr>
    </w:lvl>
    <w:lvl w:ilvl="6" w:tplc="31365E1E" w:tentative="1">
      <w:start w:val="1"/>
      <w:numFmt w:val="decimal"/>
      <w:lvlText w:val="%7."/>
      <w:lvlJc w:val="left"/>
      <w:pPr>
        <w:tabs>
          <w:tab w:val="num" w:pos="5040"/>
        </w:tabs>
        <w:ind w:left="5040" w:hanging="360"/>
      </w:pPr>
    </w:lvl>
    <w:lvl w:ilvl="7" w:tplc="1F08B91C" w:tentative="1">
      <w:start w:val="1"/>
      <w:numFmt w:val="decimal"/>
      <w:lvlText w:val="%8."/>
      <w:lvlJc w:val="left"/>
      <w:pPr>
        <w:tabs>
          <w:tab w:val="num" w:pos="5760"/>
        </w:tabs>
        <w:ind w:left="5760" w:hanging="360"/>
      </w:pPr>
    </w:lvl>
    <w:lvl w:ilvl="8" w:tplc="FB50AF20" w:tentative="1">
      <w:start w:val="1"/>
      <w:numFmt w:val="decimal"/>
      <w:lvlText w:val="%9."/>
      <w:lvlJc w:val="left"/>
      <w:pPr>
        <w:tabs>
          <w:tab w:val="num" w:pos="6480"/>
        </w:tabs>
        <w:ind w:left="6480" w:hanging="360"/>
      </w:pPr>
    </w:lvl>
  </w:abstractNum>
  <w:abstractNum w:abstractNumId="19">
    <w:nsid w:val="3A1B5CDA"/>
    <w:multiLevelType w:val="hybridMultilevel"/>
    <w:tmpl w:val="DAB28872"/>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0">
    <w:nsid w:val="3A767C31"/>
    <w:multiLevelType w:val="hybridMultilevel"/>
    <w:tmpl w:val="89421C76"/>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1">
    <w:nsid w:val="3CDC009D"/>
    <w:multiLevelType w:val="hybridMultilevel"/>
    <w:tmpl w:val="51A6D308"/>
    <w:lvl w:ilvl="0" w:tplc="081A000F">
      <w:start w:val="1"/>
      <w:numFmt w:val="decimal"/>
      <w:lvlText w:val="%1."/>
      <w:lvlJc w:val="left"/>
      <w:pPr>
        <w:tabs>
          <w:tab w:val="num" w:pos="720"/>
        </w:tabs>
        <w:ind w:left="720" w:hanging="360"/>
      </w:pPr>
      <w:rPr>
        <w:rFonts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2">
    <w:nsid w:val="43A84758"/>
    <w:multiLevelType w:val="hybridMultilevel"/>
    <w:tmpl w:val="2D06C924"/>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3">
    <w:nsid w:val="4F5E1EFF"/>
    <w:multiLevelType w:val="hybridMultilevel"/>
    <w:tmpl w:val="02D6130E"/>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4">
    <w:nsid w:val="50C2756D"/>
    <w:multiLevelType w:val="hybridMultilevel"/>
    <w:tmpl w:val="59F8F480"/>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5">
    <w:nsid w:val="50DB2461"/>
    <w:multiLevelType w:val="hybridMultilevel"/>
    <w:tmpl w:val="B8D8E986"/>
    <w:lvl w:ilvl="0" w:tplc="9E4E8A88">
      <w:start w:val="1"/>
      <w:numFmt w:val="bullet"/>
      <w:pStyle w:val="Buleti"/>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6">
    <w:nsid w:val="542F57BA"/>
    <w:multiLevelType w:val="hybridMultilevel"/>
    <w:tmpl w:val="758638E8"/>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7">
    <w:nsid w:val="558A44BE"/>
    <w:multiLevelType w:val="hybridMultilevel"/>
    <w:tmpl w:val="6AFCCFAC"/>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8">
    <w:nsid w:val="5A58237D"/>
    <w:multiLevelType w:val="hybridMultilevel"/>
    <w:tmpl w:val="4AAC0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E9825B8"/>
    <w:multiLevelType w:val="hybridMultilevel"/>
    <w:tmpl w:val="1A7C6368"/>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0">
    <w:nsid w:val="626D4390"/>
    <w:multiLevelType w:val="hybridMultilevel"/>
    <w:tmpl w:val="C5F02B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624185"/>
    <w:multiLevelType w:val="hybridMultilevel"/>
    <w:tmpl w:val="96721CF8"/>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2">
    <w:nsid w:val="6D064ED5"/>
    <w:multiLevelType w:val="hybridMultilevel"/>
    <w:tmpl w:val="18E43B72"/>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3">
    <w:nsid w:val="6E697198"/>
    <w:multiLevelType w:val="hybridMultilevel"/>
    <w:tmpl w:val="542EB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344F3C"/>
    <w:multiLevelType w:val="hybridMultilevel"/>
    <w:tmpl w:val="108AEB92"/>
    <w:lvl w:ilvl="0" w:tplc="081A000F">
      <w:start w:val="1"/>
      <w:numFmt w:val="decimal"/>
      <w:lvlText w:val="%1."/>
      <w:lvlJc w:val="left"/>
      <w:pPr>
        <w:tabs>
          <w:tab w:val="num" w:pos="360"/>
        </w:tabs>
        <w:ind w:left="360" w:hanging="360"/>
      </w:pPr>
      <w:rPr>
        <w:rFonts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5">
    <w:nsid w:val="72FA325D"/>
    <w:multiLevelType w:val="hybridMultilevel"/>
    <w:tmpl w:val="8E388926"/>
    <w:lvl w:ilvl="0" w:tplc="FB243EF8">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39675C"/>
    <w:multiLevelType w:val="hybridMultilevel"/>
    <w:tmpl w:val="FB14D020"/>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7">
    <w:nsid w:val="764339B0"/>
    <w:multiLevelType w:val="hybridMultilevel"/>
    <w:tmpl w:val="D2A80EBE"/>
    <w:lvl w:ilvl="0" w:tplc="081A000F">
      <w:start w:val="1"/>
      <w:numFmt w:val="decimal"/>
      <w:lvlText w:val="%1."/>
      <w:lvlJc w:val="left"/>
      <w:pPr>
        <w:tabs>
          <w:tab w:val="num" w:pos="360"/>
        </w:tabs>
        <w:ind w:left="360" w:hanging="360"/>
      </w:pPr>
      <w:rPr>
        <w:rFonts w:hint="default"/>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38">
    <w:nsid w:val="79685469"/>
    <w:multiLevelType w:val="hybridMultilevel"/>
    <w:tmpl w:val="BDF602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D109D8"/>
    <w:multiLevelType w:val="hybridMultilevel"/>
    <w:tmpl w:val="88664486"/>
    <w:lvl w:ilvl="0" w:tplc="FB243EF8">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7"/>
  </w:num>
  <w:num w:numId="3">
    <w:abstractNumId w:val="7"/>
  </w:num>
  <w:num w:numId="4">
    <w:abstractNumId w:val="8"/>
  </w:num>
  <w:num w:numId="5">
    <w:abstractNumId w:val="36"/>
  </w:num>
  <w:num w:numId="6">
    <w:abstractNumId w:val="5"/>
  </w:num>
  <w:num w:numId="7">
    <w:abstractNumId w:val="13"/>
  </w:num>
  <w:num w:numId="8">
    <w:abstractNumId w:val="22"/>
  </w:num>
  <w:num w:numId="9">
    <w:abstractNumId w:val="31"/>
  </w:num>
  <w:num w:numId="10">
    <w:abstractNumId w:val="19"/>
  </w:num>
  <w:num w:numId="11">
    <w:abstractNumId w:val="26"/>
  </w:num>
  <w:num w:numId="12">
    <w:abstractNumId w:val="18"/>
  </w:num>
  <w:num w:numId="13">
    <w:abstractNumId w:val="2"/>
  </w:num>
  <w:num w:numId="14">
    <w:abstractNumId w:val="3"/>
  </w:num>
  <w:num w:numId="15">
    <w:abstractNumId w:val="24"/>
  </w:num>
  <w:num w:numId="16">
    <w:abstractNumId w:val="29"/>
  </w:num>
  <w:num w:numId="17">
    <w:abstractNumId w:val="27"/>
  </w:num>
  <w:num w:numId="18">
    <w:abstractNumId w:val="23"/>
  </w:num>
  <w:num w:numId="19">
    <w:abstractNumId w:val="15"/>
  </w:num>
  <w:num w:numId="20">
    <w:abstractNumId w:val="21"/>
  </w:num>
  <w:num w:numId="21">
    <w:abstractNumId w:val="16"/>
  </w:num>
  <w:num w:numId="22">
    <w:abstractNumId w:val="32"/>
  </w:num>
  <w:num w:numId="23">
    <w:abstractNumId w:val="37"/>
  </w:num>
  <w:num w:numId="24">
    <w:abstractNumId w:val="0"/>
  </w:num>
  <w:num w:numId="25">
    <w:abstractNumId w:val="12"/>
  </w:num>
  <w:num w:numId="26">
    <w:abstractNumId w:val="11"/>
  </w:num>
  <w:num w:numId="27">
    <w:abstractNumId w:val="4"/>
  </w:num>
  <w:num w:numId="28">
    <w:abstractNumId w:val="20"/>
  </w:num>
  <w:num w:numId="29">
    <w:abstractNumId w:val="34"/>
  </w:num>
  <w:num w:numId="30">
    <w:abstractNumId w:val="6"/>
  </w:num>
  <w:num w:numId="31">
    <w:abstractNumId w:val="14"/>
  </w:num>
  <w:num w:numId="32">
    <w:abstractNumId w:val="9"/>
  </w:num>
  <w:num w:numId="33">
    <w:abstractNumId w:val="1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1"/>
  </w:num>
  <w:num w:numId="38">
    <w:abstractNumId w:val="39"/>
  </w:num>
  <w:num w:numId="39">
    <w:abstractNumId w:val="35"/>
  </w:num>
  <w:num w:numId="40">
    <w:abstractNumId w:val="38"/>
  </w:num>
  <w:num w:numId="41">
    <w:abstractNumId w:val="33"/>
  </w:num>
  <w:num w:numId="42">
    <w:abstractNumId w:val="3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stylePaneFormatFilter w:val="3F01"/>
  <w:defaultTabStop w:val="720"/>
  <w:drawingGridHorizontalSpacing w:val="100"/>
  <w:displayHorizontalDrawingGridEvery w:val="2"/>
  <w:displayVerticalDrawingGridEvery w:val="2"/>
  <w:noPunctuationKerning/>
  <w:characterSpacingControl w:val="doNotCompress"/>
  <w:hdrShapeDefaults>
    <o:shapedefaults v:ext="edit" spidmax="25602"/>
    <o:shapelayout v:ext="edit">
      <o:idmap v:ext="edit" data="1"/>
    </o:shapelayout>
  </w:hdrShapeDefaults>
  <w:footnotePr>
    <w:footnote w:id="0"/>
    <w:footnote w:id="1"/>
  </w:footnotePr>
  <w:endnotePr>
    <w:endnote w:id="0"/>
    <w:endnote w:id="1"/>
  </w:endnotePr>
  <w:compat/>
  <w:rsids>
    <w:rsidRoot w:val="002E3DB8"/>
    <w:rsid w:val="00000620"/>
    <w:rsid w:val="000007BB"/>
    <w:rsid w:val="0000190C"/>
    <w:rsid w:val="0000274D"/>
    <w:rsid w:val="0000412B"/>
    <w:rsid w:val="00011E88"/>
    <w:rsid w:val="00016155"/>
    <w:rsid w:val="00017862"/>
    <w:rsid w:val="000211B5"/>
    <w:rsid w:val="00021483"/>
    <w:rsid w:val="000216A4"/>
    <w:rsid w:val="00024045"/>
    <w:rsid w:val="000277ED"/>
    <w:rsid w:val="00032473"/>
    <w:rsid w:val="00033004"/>
    <w:rsid w:val="00033D79"/>
    <w:rsid w:val="00033F3A"/>
    <w:rsid w:val="00034B68"/>
    <w:rsid w:val="0003543A"/>
    <w:rsid w:val="0003547D"/>
    <w:rsid w:val="000416AB"/>
    <w:rsid w:val="00042A51"/>
    <w:rsid w:val="00046C95"/>
    <w:rsid w:val="0005059B"/>
    <w:rsid w:val="0005619C"/>
    <w:rsid w:val="000647CD"/>
    <w:rsid w:val="00064B81"/>
    <w:rsid w:val="000654A7"/>
    <w:rsid w:val="0007098A"/>
    <w:rsid w:val="0007712A"/>
    <w:rsid w:val="00077A6E"/>
    <w:rsid w:val="00081B07"/>
    <w:rsid w:val="00083111"/>
    <w:rsid w:val="000839A3"/>
    <w:rsid w:val="000907C2"/>
    <w:rsid w:val="0009135A"/>
    <w:rsid w:val="00092CCC"/>
    <w:rsid w:val="000932D0"/>
    <w:rsid w:val="000959FB"/>
    <w:rsid w:val="00096301"/>
    <w:rsid w:val="000A6F82"/>
    <w:rsid w:val="000A7D6F"/>
    <w:rsid w:val="000B07B4"/>
    <w:rsid w:val="000B08E6"/>
    <w:rsid w:val="000B6BB8"/>
    <w:rsid w:val="000C010E"/>
    <w:rsid w:val="000C38FD"/>
    <w:rsid w:val="000D0471"/>
    <w:rsid w:val="000D0489"/>
    <w:rsid w:val="000D4519"/>
    <w:rsid w:val="000D52C4"/>
    <w:rsid w:val="000D6109"/>
    <w:rsid w:val="000E0314"/>
    <w:rsid w:val="000E1F5F"/>
    <w:rsid w:val="000E2139"/>
    <w:rsid w:val="000E591C"/>
    <w:rsid w:val="000E6FF3"/>
    <w:rsid w:val="000F0163"/>
    <w:rsid w:val="000F5C8F"/>
    <w:rsid w:val="000F5D33"/>
    <w:rsid w:val="000F75A2"/>
    <w:rsid w:val="00101C66"/>
    <w:rsid w:val="001034F4"/>
    <w:rsid w:val="00105B16"/>
    <w:rsid w:val="00106980"/>
    <w:rsid w:val="001070F6"/>
    <w:rsid w:val="00107F33"/>
    <w:rsid w:val="001103E3"/>
    <w:rsid w:val="00111BBD"/>
    <w:rsid w:val="001123FE"/>
    <w:rsid w:val="0011311E"/>
    <w:rsid w:val="001139FA"/>
    <w:rsid w:val="00115CC2"/>
    <w:rsid w:val="00121041"/>
    <w:rsid w:val="001223F5"/>
    <w:rsid w:val="00122426"/>
    <w:rsid w:val="00122A2F"/>
    <w:rsid w:val="001310B5"/>
    <w:rsid w:val="00132133"/>
    <w:rsid w:val="00132957"/>
    <w:rsid w:val="00132F9E"/>
    <w:rsid w:val="0013353F"/>
    <w:rsid w:val="00134177"/>
    <w:rsid w:val="00134F09"/>
    <w:rsid w:val="0013507A"/>
    <w:rsid w:val="0013545E"/>
    <w:rsid w:val="0013624A"/>
    <w:rsid w:val="00136773"/>
    <w:rsid w:val="00142C90"/>
    <w:rsid w:val="00143B7A"/>
    <w:rsid w:val="00146EF7"/>
    <w:rsid w:val="001500FF"/>
    <w:rsid w:val="00150E6F"/>
    <w:rsid w:val="00151C92"/>
    <w:rsid w:val="00153C7B"/>
    <w:rsid w:val="00154018"/>
    <w:rsid w:val="0015514D"/>
    <w:rsid w:val="0016077D"/>
    <w:rsid w:val="00160B20"/>
    <w:rsid w:val="00160BD4"/>
    <w:rsid w:val="001653E0"/>
    <w:rsid w:val="00165E0E"/>
    <w:rsid w:val="00165E21"/>
    <w:rsid w:val="001679CF"/>
    <w:rsid w:val="00167EDA"/>
    <w:rsid w:val="001752A8"/>
    <w:rsid w:val="0018165D"/>
    <w:rsid w:val="00183AAA"/>
    <w:rsid w:val="00184ABC"/>
    <w:rsid w:val="001851FA"/>
    <w:rsid w:val="001860B7"/>
    <w:rsid w:val="001862CE"/>
    <w:rsid w:val="00187FB6"/>
    <w:rsid w:val="00192DE1"/>
    <w:rsid w:val="00192FE5"/>
    <w:rsid w:val="0019366E"/>
    <w:rsid w:val="00194F1D"/>
    <w:rsid w:val="001952EB"/>
    <w:rsid w:val="00195EA4"/>
    <w:rsid w:val="001A1D22"/>
    <w:rsid w:val="001A71C4"/>
    <w:rsid w:val="001A7F66"/>
    <w:rsid w:val="001B3C87"/>
    <w:rsid w:val="001B3EFB"/>
    <w:rsid w:val="001B55BB"/>
    <w:rsid w:val="001B60D8"/>
    <w:rsid w:val="001B76B0"/>
    <w:rsid w:val="001C4BDA"/>
    <w:rsid w:val="001C5D03"/>
    <w:rsid w:val="001D2CEA"/>
    <w:rsid w:val="001D3BDA"/>
    <w:rsid w:val="001E006D"/>
    <w:rsid w:val="001E0A25"/>
    <w:rsid w:val="001E2CB6"/>
    <w:rsid w:val="001E6CE0"/>
    <w:rsid w:val="001F0ACD"/>
    <w:rsid w:val="001F0CCA"/>
    <w:rsid w:val="001F2EF7"/>
    <w:rsid w:val="001F34AF"/>
    <w:rsid w:val="001F5F0A"/>
    <w:rsid w:val="002015BF"/>
    <w:rsid w:val="00204DE4"/>
    <w:rsid w:val="00206467"/>
    <w:rsid w:val="00212379"/>
    <w:rsid w:val="002159BB"/>
    <w:rsid w:val="00216DF9"/>
    <w:rsid w:val="00220AF3"/>
    <w:rsid w:val="00220B07"/>
    <w:rsid w:val="00220C61"/>
    <w:rsid w:val="00224C4C"/>
    <w:rsid w:val="00226F8E"/>
    <w:rsid w:val="00231504"/>
    <w:rsid w:val="00231A0F"/>
    <w:rsid w:val="00237BFD"/>
    <w:rsid w:val="00242965"/>
    <w:rsid w:val="00244123"/>
    <w:rsid w:val="00244180"/>
    <w:rsid w:val="002465CA"/>
    <w:rsid w:val="00252639"/>
    <w:rsid w:val="00253FB6"/>
    <w:rsid w:val="00254816"/>
    <w:rsid w:val="0025497F"/>
    <w:rsid w:val="00255772"/>
    <w:rsid w:val="002572CB"/>
    <w:rsid w:val="0026328A"/>
    <w:rsid w:val="00263DEE"/>
    <w:rsid w:val="00263EE6"/>
    <w:rsid w:val="00264F41"/>
    <w:rsid w:val="00265BF8"/>
    <w:rsid w:val="00266FA9"/>
    <w:rsid w:val="002674CB"/>
    <w:rsid w:val="00270185"/>
    <w:rsid w:val="002702CF"/>
    <w:rsid w:val="0027177B"/>
    <w:rsid w:val="00272ECA"/>
    <w:rsid w:val="0027624E"/>
    <w:rsid w:val="002811B0"/>
    <w:rsid w:val="002833AB"/>
    <w:rsid w:val="00295312"/>
    <w:rsid w:val="002A2BEE"/>
    <w:rsid w:val="002A3DA1"/>
    <w:rsid w:val="002A4157"/>
    <w:rsid w:val="002A6F0A"/>
    <w:rsid w:val="002A7106"/>
    <w:rsid w:val="002A7AEC"/>
    <w:rsid w:val="002B08FD"/>
    <w:rsid w:val="002B1544"/>
    <w:rsid w:val="002B1AAC"/>
    <w:rsid w:val="002B6A0B"/>
    <w:rsid w:val="002C1ED5"/>
    <w:rsid w:val="002C3660"/>
    <w:rsid w:val="002C43FA"/>
    <w:rsid w:val="002C5E09"/>
    <w:rsid w:val="002C6BA1"/>
    <w:rsid w:val="002C6D30"/>
    <w:rsid w:val="002D076A"/>
    <w:rsid w:val="002D2973"/>
    <w:rsid w:val="002D3376"/>
    <w:rsid w:val="002D373B"/>
    <w:rsid w:val="002D66C2"/>
    <w:rsid w:val="002D699B"/>
    <w:rsid w:val="002D7623"/>
    <w:rsid w:val="002D766E"/>
    <w:rsid w:val="002E16C1"/>
    <w:rsid w:val="002E3DB8"/>
    <w:rsid w:val="002E708E"/>
    <w:rsid w:val="002E723D"/>
    <w:rsid w:val="002F18A5"/>
    <w:rsid w:val="002F4B0A"/>
    <w:rsid w:val="002F5912"/>
    <w:rsid w:val="002F6E83"/>
    <w:rsid w:val="00300FE3"/>
    <w:rsid w:val="0030138E"/>
    <w:rsid w:val="003021F1"/>
    <w:rsid w:val="003028D5"/>
    <w:rsid w:val="00303AF1"/>
    <w:rsid w:val="00303D55"/>
    <w:rsid w:val="00304C52"/>
    <w:rsid w:val="003054D2"/>
    <w:rsid w:val="00306A97"/>
    <w:rsid w:val="00307E6B"/>
    <w:rsid w:val="003111AC"/>
    <w:rsid w:val="0031275B"/>
    <w:rsid w:val="00312AA1"/>
    <w:rsid w:val="0031509B"/>
    <w:rsid w:val="003161E2"/>
    <w:rsid w:val="00317228"/>
    <w:rsid w:val="003258E5"/>
    <w:rsid w:val="0032668F"/>
    <w:rsid w:val="003276CF"/>
    <w:rsid w:val="00330B57"/>
    <w:rsid w:val="00331B00"/>
    <w:rsid w:val="003328CC"/>
    <w:rsid w:val="00336AF2"/>
    <w:rsid w:val="00347122"/>
    <w:rsid w:val="00352E2F"/>
    <w:rsid w:val="00353E25"/>
    <w:rsid w:val="003559CD"/>
    <w:rsid w:val="00364C10"/>
    <w:rsid w:val="00365A1B"/>
    <w:rsid w:val="00365CA7"/>
    <w:rsid w:val="003702F4"/>
    <w:rsid w:val="0037147D"/>
    <w:rsid w:val="003729AC"/>
    <w:rsid w:val="00373869"/>
    <w:rsid w:val="0037497D"/>
    <w:rsid w:val="00374ACF"/>
    <w:rsid w:val="00375A12"/>
    <w:rsid w:val="00381429"/>
    <w:rsid w:val="00381AE1"/>
    <w:rsid w:val="0038302F"/>
    <w:rsid w:val="003841C0"/>
    <w:rsid w:val="003848C3"/>
    <w:rsid w:val="003906D0"/>
    <w:rsid w:val="003908E0"/>
    <w:rsid w:val="0039360F"/>
    <w:rsid w:val="00393A15"/>
    <w:rsid w:val="00393F0E"/>
    <w:rsid w:val="00396507"/>
    <w:rsid w:val="003A1BB8"/>
    <w:rsid w:val="003A31B3"/>
    <w:rsid w:val="003A3C3E"/>
    <w:rsid w:val="003A6656"/>
    <w:rsid w:val="003B0E2F"/>
    <w:rsid w:val="003B1D2C"/>
    <w:rsid w:val="003C0775"/>
    <w:rsid w:val="003C186E"/>
    <w:rsid w:val="003C3020"/>
    <w:rsid w:val="003C7881"/>
    <w:rsid w:val="003D02C5"/>
    <w:rsid w:val="003D2A52"/>
    <w:rsid w:val="003D3A6A"/>
    <w:rsid w:val="003E065D"/>
    <w:rsid w:val="003E3CC3"/>
    <w:rsid w:val="003E4EBC"/>
    <w:rsid w:val="003E5248"/>
    <w:rsid w:val="003F0BE4"/>
    <w:rsid w:val="003F1F4B"/>
    <w:rsid w:val="003F2523"/>
    <w:rsid w:val="003F252F"/>
    <w:rsid w:val="003F439E"/>
    <w:rsid w:val="003F4D2C"/>
    <w:rsid w:val="003F6233"/>
    <w:rsid w:val="003F70BB"/>
    <w:rsid w:val="003F7951"/>
    <w:rsid w:val="0040004C"/>
    <w:rsid w:val="004016C4"/>
    <w:rsid w:val="00404FAD"/>
    <w:rsid w:val="0040634C"/>
    <w:rsid w:val="004068E0"/>
    <w:rsid w:val="00406FE2"/>
    <w:rsid w:val="004148C7"/>
    <w:rsid w:val="004159EA"/>
    <w:rsid w:val="004173B4"/>
    <w:rsid w:val="0042084B"/>
    <w:rsid w:val="00421603"/>
    <w:rsid w:val="004226FF"/>
    <w:rsid w:val="00422C67"/>
    <w:rsid w:val="00422E35"/>
    <w:rsid w:val="00424487"/>
    <w:rsid w:val="004256DC"/>
    <w:rsid w:val="004262B9"/>
    <w:rsid w:val="0042737F"/>
    <w:rsid w:val="0042796A"/>
    <w:rsid w:val="00427A1F"/>
    <w:rsid w:val="00427F2A"/>
    <w:rsid w:val="004314CF"/>
    <w:rsid w:val="00440B8F"/>
    <w:rsid w:val="004428B5"/>
    <w:rsid w:val="00442F1F"/>
    <w:rsid w:val="00443405"/>
    <w:rsid w:val="004443DA"/>
    <w:rsid w:val="004446CE"/>
    <w:rsid w:val="00444733"/>
    <w:rsid w:val="00444A3C"/>
    <w:rsid w:val="00445F78"/>
    <w:rsid w:val="004465A7"/>
    <w:rsid w:val="00447914"/>
    <w:rsid w:val="0045151D"/>
    <w:rsid w:val="00451D12"/>
    <w:rsid w:val="004554EC"/>
    <w:rsid w:val="00456ACE"/>
    <w:rsid w:val="0046084F"/>
    <w:rsid w:val="0046102D"/>
    <w:rsid w:val="00464A95"/>
    <w:rsid w:val="0046697A"/>
    <w:rsid w:val="00472350"/>
    <w:rsid w:val="0048132B"/>
    <w:rsid w:val="0048484F"/>
    <w:rsid w:val="004878F0"/>
    <w:rsid w:val="00490E05"/>
    <w:rsid w:val="00492376"/>
    <w:rsid w:val="00492B89"/>
    <w:rsid w:val="00492C69"/>
    <w:rsid w:val="0049363E"/>
    <w:rsid w:val="00497AF2"/>
    <w:rsid w:val="004A09B8"/>
    <w:rsid w:val="004A1297"/>
    <w:rsid w:val="004A4015"/>
    <w:rsid w:val="004A7564"/>
    <w:rsid w:val="004A7B16"/>
    <w:rsid w:val="004A7E00"/>
    <w:rsid w:val="004A7ED3"/>
    <w:rsid w:val="004B05EC"/>
    <w:rsid w:val="004B0CBF"/>
    <w:rsid w:val="004B24FD"/>
    <w:rsid w:val="004B2D8C"/>
    <w:rsid w:val="004B4196"/>
    <w:rsid w:val="004B7EEA"/>
    <w:rsid w:val="004C1D1B"/>
    <w:rsid w:val="004C39ED"/>
    <w:rsid w:val="004C3A69"/>
    <w:rsid w:val="004C4E31"/>
    <w:rsid w:val="004C71CB"/>
    <w:rsid w:val="004D1FF7"/>
    <w:rsid w:val="004D311C"/>
    <w:rsid w:val="004D456F"/>
    <w:rsid w:val="004D57DD"/>
    <w:rsid w:val="004D77BB"/>
    <w:rsid w:val="004F0195"/>
    <w:rsid w:val="004F0C94"/>
    <w:rsid w:val="004F2684"/>
    <w:rsid w:val="00500F45"/>
    <w:rsid w:val="00501E8B"/>
    <w:rsid w:val="0050371C"/>
    <w:rsid w:val="00510A19"/>
    <w:rsid w:val="00511898"/>
    <w:rsid w:val="00511EA7"/>
    <w:rsid w:val="00513C23"/>
    <w:rsid w:val="00513C6C"/>
    <w:rsid w:val="00517A71"/>
    <w:rsid w:val="0052054B"/>
    <w:rsid w:val="005206ED"/>
    <w:rsid w:val="00520B94"/>
    <w:rsid w:val="005257EB"/>
    <w:rsid w:val="00530EB3"/>
    <w:rsid w:val="00533B39"/>
    <w:rsid w:val="0053553C"/>
    <w:rsid w:val="005462B9"/>
    <w:rsid w:val="005463BF"/>
    <w:rsid w:val="0055024B"/>
    <w:rsid w:val="005524AD"/>
    <w:rsid w:val="00552B52"/>
    <w:rsid w:val="00552C70"/>
    <w:rsid w:val="00553A60"/>
    <w:rsid w:val="00560345"/>
    <w:rsid w:val="005643BB"/>
    <w:rsid w:val="0057064C"/>
    <w:rsid w:val="00570F07"/>
    <w:rsid w:val="0057620E"/>
    <w:rsid w:val="00583954"/>
    <w:rsid w:val="0058398F"/>
    <w:rsid w:val="005903CA"/>
    <w:rsid w:val="005905FB"/>
    <w:rsid w:val="005909A4"/>
    <w:rsid w:val="0059295B"/>
    <w:rsid w:val="005929DB"/>
    <w:rsid w:val="00593366"/>
    <w:rsid w:val="00593956"/>
    <w:rsid w:val="00593AB9"/>
    <w:rsid w:val="005A47BF"/>
    <w:rsid w:val="005A48A7"/>
    <w:rsid w:val="005A5854"/>
    <w:rsid w:val="005A58C9"/>
    <w:rsid w:val="005A65C4"/>
    <w:rsid w:val="005A6E56"/>
    <w:rsid w:val="005B1674"/>
    <w:rsid w:val="005B6F3D"/>
    <w:rsid w:val="005B7C75"/>
    <w:rsid w:val="005C0106"/>
    <w:rsid w:val="005C1BCC"/>
    <w:rsid w:val="005C5E7C"/>
    <w:rsid w:val="005D022F"/>
    <w:rsid w:val="005D24DC"/>
    <w:rsid w:val="005D24F3"/>
    <w:rsid w:val="005D2DDC"/>
    <w:rsid w:val="005D7A7F"/>
    <w:rsid w:val="005E14E6"/>
    <w:rsid w:val="005E151E"/>
    <w:rsid w:val="005E2323"/>
    <w:rsid w:val="005E5988"/>
    <w:rsid w:val="005E60DD"/>
    <w:rsid w:val="005E75BF"/>
    <w:rsid w:val="005F0196"/>
    <w:rsid w:val="005F218E"/>
    <w:rsid w:val="005F29B9"/>
    <w:rsid w:val="005F621C"/>
    <w:rsid w:val="00601EE7"/>
    <w:rsid w:val="006024F6"/>
    <w:rsid w:val="00605FCD"/>
    <w:rsid w:val="006072A7"/>
    <w:rsid w:val="006103AF"/>
    <w:rsid w:val="0061095D"/>
    <w:rsid w:val="00615A5E"/>
    <w:rsid w:val="00620A73"/>
    <w:rsid w:val="00635B8A"/>
    <w:rsid w:val="00635BBD"/>
    <w:rsid w:val="0063601C"/>
    <w:rsid w:val="006360E0"/>
    <w:rsid w:val="00637B92"/>
    <w:rsid w:val="00640450"/>
    <w:rsid w:val="00640AA7"/>
    <w:rsid w:val="006449B3"/>
    <w:rsid w:val="00652167"/>
    <w:rsid w:val="00655285"/>
    <w:rsid w:val="00664407"/>
    <w:rsid w:val="0066523F"/>
    <w:rsid w:val="00666177"/>
    <w:rsid w:val="00670081"/>
    <w:rsid w:val="00670134"/>
    <w:rsid w:val="00672442"/>
    <w:rsid w:val="006728E6"/>
    <w:rsid w:val="00682AF4"/>
    <w:rsid w:val="006838FD"/>
    <w:rsid w:val="006849A3"/>
    <w:rsid w:val="00686D75"/>
    <w:rsid w:val="00690FD7"/>
    <w:rsid w:val="00691B1D"/>
    <w:rsid w:val="00692B80"/>
    <w:rsid w:val="00692DBE"/>
    <w:rsid w:val="006956C5"/>
    <w:rsid w:val="00697038"/>
    <w:rsid w:val="00697AE4"/>
    <w:rsid w:val="006A0705"/>
    <w:rsid w:val="006A1CCE"/>
    <w:rsid w:val="006A4181"/>
    <w:rsid w:val="006A588C"/>
    <w:rsid w:val="006A5C27"/>
    <w:rsid w:val="006A63B3"/>
    <w:rsid w:val="006A758F"/>
    <w:rsid w:val="006B0132"/>
    <w:rsid w:val="006B0425"/>
    <w:rsid w:val="006B510B"/>
    <w:rsid w:val="006B7EAA"/>
    <w:rsid w:val="006B7F1D"/>
    <w:rsid w:val="006C1378"/>
    <w:rsid w:val="006C34C7"/>
    <w:rsid w:val="006C5998"/>
    <w:rsid w:val="006D28E2"/>
    <w:rsid w:val="006D32A9"/>
    <w:rsid w:val="006D445F"/>
    <w:rsid w:val="006D5097"/>
    <w:rsid w:val="006D6261"/>
    <w:rsid w:val="006D693E"/>
    <w:rsid w:val="006E06FD"/>
    <w:rsid w:val="006E2157"/>
    <w:rsid w:val="006E2167"/>
    <w:rsid w:val="006E502D"/>
    <w:rsid w:val="006E5992"/>
    <w:rsid w:val="006F1736"/>
    <w:rsid w:val="006F1A99"/>
    <w:rsid w:val="006F21A1"/>
    <w:rsid w:val="006F2E56"/>
    <w:rsid w:val="006F6543"/>
    <w:rsid w:val="00702784"/>
    <w:rsid w:val="00702A12"/>
    <w:rsid w:val="00702DE5"/>
    <w:rsid w:val="007041EB"/>
    <w:rsid w:val="007044BC"/>
    <w:rsid w:val="00706D0A"/>
    <w:rsid w:val="007076ED"/>
    <w:rsid w:val="00707F6B"/>
    <w:rsid w:val="00710184"/>
    <w:rsid w:val="007110AE"/>
    <w:rsid w:val="00712C76"/>
    <w:rsid w:val="00712F12"/>
    <w:rsid w:val="00713B4F"/>
    <w:rsid w:val="00720B17"/>
    <w:rsid w:val="00720EA6"/>
    <w:rsid w:val="00723163"/>
    <w:rsid w:val="00723B3B"/>
    <w:rsid w:val="00724A8C"/>
    <w:rsid w:val="007265BE"/>
    <w:rsid w:val="00727685"/>
    <w:rsid w:val="00730E78"/>
    <w:rsid w:val="007318ED"/>
    <w:rsid w:val="00731EC5"/>
    <w:rsid w:val="007338EE"/>
    <w:rsid w:val="00734032"/>
    <w:rsid w:val="00734F80"/>
    <w:rsid w:val="00740D7C"/>
    <w:rsid w:val="00741001"/>
    <w:rsid w:val="007424F5"/>
    <w:rsid w:val="007438F6"/>
    <w:rsid w:val="00743B44"/>
    <w:rsid w:val="007456E5"/>
    <w:rsid w:val="00745D46"/>
    <w:rsid w:val="00746666"/>
    <w:rsid w:val="00746A81"/>
    <w:rsid w:val="0075152E"/>
    <w:rsid w:val="00751FB3"/>
    <w:rsid w:val="00754115"/>
    <w:rsid w:val="00756906"/>
    <w:rsid w:val="00756A21"/>
    <w:rsid w:val="00757E95"/>
    <w:rsid w:val="00760F7C"/>
    <w:rsid w:val="007628F2"/>
    <w:rsid w:val="00763CC6"/>
    <w:rsid w:val="00763D63"/>
    <w:rsid w:val="00764763"/>
    <w:rsid w:val="00766545"/>
    <w:rsid w:val="00766644"/>
    <w:rsid w:val="00766E07"/>
    <w:rsid w:val="00771150"/>
    <w:rsid w:val="007716A0"/>
    <w:rsid w:val="0078334D"/>
    <w:rsid w:val="00784217"/>
    <w:rsid w:val="00784288"/>
    <w:rsid w:val="00784588"/>
    <w:rsid w:val="00784CAC"/>
    <w:rsid w:val="007863B1"/>
    <w:rsid w:val="00786C02"/>
    <w:rsid w:val="00792A44"/>
    <w:rsid w:val="00792B44"/>
    <w:rsid w:val="007943A3"/>
    <w:rsid w:val="0079446C"/>
    <w:rsid w:val="007957DF"/>
    <w:rsid w:val="00797911"/>
    <w:rsid w:val="007A2202"/>
    <w:rsid w:val="007A272D"/>
    <w:rsid w:val="007A4414"/>
    <w:rsid w:val="007A5AF6"/>
    <w:rsid w:val="007B05D3"/>
    <w:rsid w:val="007B1187"/>
    <w:rsid w:val="007B12B6"/>
    <w:rsid w:val="007B2EE8"/>
    <w:rsid w:val="007B2F97"/>
    <w:rsid w:val="007B6698"/>
    <w:rsid w:val="007B7751"/>
    <w:rsid w:val="007C0B10"/>
    <w:rsid w:val="007C274A"/>
    <w:rsid w:val="007C51E2"/>
    <w:rsid w:val="007C781E"/>
    <w:rsid w:val="007D0AE4"/>
    <w:rsid w:val="007D50BE"/>
    <w:rsid w:val="007E0284"/>
    <w:rsid w:val="007E1163"/>
    <w:rsid w:val="007E354A"/>
    <w:rsid w:val="007E3A07"/>
    <w:rsid w:val="007E6A4B"/>
    <w:rsid w:val="007E7760"/>
    <w:rsid w:val="007F6AAD"/>
    <w:rsid w:val="007F6D45"/>
    <w:rsid w:val="00803152"/>
    <w:rsid w:val="00803349"/>
    <w:rsid w:val="00804866"/>
    <w:rsid w:val="00806308"/>
    <w:rsid w:val="008063F9"/>
    <w:rsid w:val="00806FBC"/>
    <w:rsid w:val="0080739D"/>
    <w:rsid w:val="0080795A"/>
    <w:rsid w:val="00807FF5"/>
    <w:rsid w:val="008107E0"/>
    <w:rsid w:val="00811CD4"/>
    <w:rsid w:val="00812289"/>
    <w:rsid w:val="0081243E"/>
    <w:rsid w:val="00813C1A"/>
    <w:rsid w:val="00814EA0"/>
    <w:rsid w:val="0081793B"/>
    <w:rsid w:val="0082015F"/>
    <w:rsid w:val="00823694"/>
    <w:rsid w:val="008258BD"/>
    <w:rsid w:val="0082631F"/>
    <w:rsid w:val="008276BF"/>
    <w:rsid w:val="0083482D"/>
    <w:rsid w:val="00834E88"/>
    <w:rsid w:val="00835412"/>
    <w:rsid w:val="008359DC"/>
    <w:rsid w:val="00836959"/>
    <w:rsid w:val="008378CC"/>
    <w:rsid w:val="008379B3"/>
    <w:rsid w:val="00842D31"/>
    <w:rsid w:val="008520D0"/>
    <w:rsid w:val="00852185"/>
    <w:rsid w:val="00855AE4"/>
    <w:rsid w:val="00862DEA"/>
    <w:rsid w:val="0086743F"/>
    <w:rsid w:val="008708C5"/>
    <w:rsid w:val="00870EFF"/>
    <w:rsid w:val="00871EF0"/>
    <w:rsid w:val="008724DA"/>
    <w:rsid w:val="00873870"/>
    <w:rsid w:val="0087516A"/>
    <w:rsid w:val="008751A4"/>
    <w:rsid w:val="0087538B"/>
    <w:rsid w:val="00875908"/>
    <w:rsid w:val="00875967"/>
    <w:rsid w:val="00876287"/>
    <w:rsid w:val="00876473"/>
    <w:rsid w:val="00877034"/>
    <w:rsid w:val="0087793D"/>
    <w:rsid w:val="00877C88"/>
    <w:rsid w:val="008826CD"/>
    <w:rsid w:val="0088284B"/>
    <w:rsid w:val="0088458B"/>
    <w:rsid w:val="0088494C"/>
    <w:rsid w:val="00884C2B"/>
    <w:rsid w:val="00887553"/>
    <w:rsid w:val="008943E1"/>
    <w:rsid w:val="00895A0E"/>
    <w:rsid w:val="0089738F"/>
    <w:rsid w:val="008A0059"/>
    <w:rsid w:val="008A0E13"/>
    <w:rsid w:val="008A34E2"/>
    <w:rsid w:val="008B4B85"/>
    <w:rsid w:val="008B7794"/>
    <w:rsid w:val="008C090E"/>
    <w:rsid w:val="008C0AB6"/>
    <w:rsid w:val="008C41FF"/>
    <w:rsid w:val="008C4BC8"/>
    <w:rsid w:val="008C56D8"/>
    <w:rsid w:val="008C5A94"/>
    <w:rsid w:val="008D210E"/>
    <w:rsid w:val="008D2581"/>
    <w:rsid w:val="008D52D8"/>
    <w:rsid w:val="008D6AB7"/>
    <w:rsid w:val="008D6B6C"/>
    <w:rsid w:val="008E0308"/>
    <w:rsid w:val="008E28E5"/>
    <w:rsid w:val="008E7A2A"/>
    <w:rsid w:val="008F31E4"/>
    <w:rsid w:val="008F3B37"/>
    <w:rsid w:val="008F572B"/>
    <w:rsid w:val="008F71DF"/>
    <w:rsid w:val="0090168D"/>
    <w:rsid w:val="00902EA2"/>
    <w:rsid w:val="00903541"/>
    <w:rsid w:val="00915740"/>
    <w:rsid w:val="0091590C"/>
    <w:rsid w:val="00915C7D"/>
    <w:rsid w:val="00921846"/>
    <w:rsid w:val="009224C2"/>
    <w:rsid w:val="00925001"/>
    <w:rsid w:val="00925034"/>
    <w:rsid w:val="009251D6"/>
    <w:rsid w:val="00925E52"/>
    <w:rsid w:val="00930892"/>
    <w:rsid w:val="00933B3C"/>
    <w:rsid w:val="009341D6"/>
    <w:rsid w:val="009343DE"/>
    <w:rsid w:val="00935307"/>
    <w:rsid w:val="00935AC8"/>
    <w:rsid w:val="00941373"/>
    <w:rsid w:val="0094259F"/>
    <w:rsid w:val="009478D1"/>
    <w:rsid w:val="00951ACF"/>
    <w:rsid w:val="009560B3"/>
    <w:rsid w:val="00957CC6"/>
    <w:rsid w:val="00962692"/>
    <w:rsid w:val="00964887"/>
    <w:rsid w:val="00965336"/>
    <w:rsid w:val="009677B4"/>
    <w:rsid w:val="00970F8A"/>
    <w:rsid w:val="00973788"/>
    <w:rsid w:val="00985BD2"/>
    <w:rsid w:val="009878FE"/>
    <w:rsid w:val="0099075E"/>
    <w:rsid w:val="00992F50"/>
    <w:rsid w:val="00993AEA"/>
    <w:rsid w:val="00994A2E"/>
    <w:rsid w:val="00994EED"/>
    <w:rsid w:val="009A0241"/>
    <w:rsid w:val="009A158C"/>
    <w:rsid w:val="009A67C9"/>
    <w:rsid w:val="009A6D2A"/>
    <w:rsid w:val="009A6F83"/>
    <w:rsid w:val="009B001B"/>
    <w:rsid w:val="009B2552"/>
    <w:rsid w:val="009B2F53"/>
    <w:rsid w:val="009B4744"/>
    <w:rsid w:val="009B5596"/>
    <w:rsid w:val="009B5FBB"/>
    <w:rsid w:val="009B6199"/>
    <w:rsid w:val="009B7827"/>
    <w:rsid w:val="009C039E"/>
    <w:rsid w:val="009C1DA9"/>
    <w:rsid w:val="009C3F03"/>
    <w:rsid w:val="009C5470"/>
    <w:rsid w:val="009C6DAA"/>
    <w:rsid w:val="009C7F83"/>
    <w:rsid w:val="009D3875"/>
    <w:rsid w:val="009D4811"/>
    <w:rsid w:val="009D49D0"/>
    <w:rsid w:val="009D620C"/>
    <w:rsid w:val="009E3AA0"/>
    <w:rsid w:val="009E3F4F"/>
    <w:rsid w:val="009F0A6B"/>
    <w:rsid w:val="009F0A6F"/>
    <w:rsid w:val="009F7A52"/>
    <w:rsid w:val="00A0145C"/>
    <w:rsid w:val="00A0336A"/>
    <w:rsid w:val="00A03A7C"/>
    <w:rsid w:val="00A05B0C"/>
    <w:rsid w:val="00A06B01"/>
    <w:rsid w:val="00A11438"/>
    <w:rsid w:val="00A141DF"/>
    <w:rsid w:val="00A1648D"/>
    <w:rsid w:val="00A16767"/>
    <w:rsid w:val="00A21EE6"/>
    <w:rsid w:val="00A2428B"/>
    <w:rsid w:val="00A245D8"/>
    <w:rsid w:val="00A34BA4"/>
    <w:rsid w:val="00A370D2"/>
    <w:rsid w:val="00A42C15"/>
    <w:rsid w:val="00A43259"/>
    <w:rsid w:val="00A433BC"/>
    <w:rsid w:val="00A44D6D"/>
    <w:rsid w:val="00A51DAF"/>
    <w:rsid w:val="00A533D3"/>
    <w:rsid w:val="00A55121"/>
    <w:rsid w:val="00A65392"/>
    <w:rsid w:val="00A71007"/>
    <w:rsid w:val="00A7201A"/>
    <w:rsid w:val="00A72DE6"/>
    <w:rsid w:val="00A73836"/>
    <w:rsid w:val="00A738E9"/>
    <w:rsid w:val="00A75FD9"/>
    <w:rsid w:val="00A80302"/>
    <w:rsid w:val="00A816AA"/>
    <w:rsid w:val="00A83636"/>
    <w:rsid w:val="00A91196"/>
    <w:rsid w:val="00A97D17"/>
    <w:rsid w:val="00AA1686"/>
    <w:rsid w:val="00AA2D03"/>
    <w:rsid w:val="00AA4093"/>
    <w:rsid w:val="00AA628A"/>
    <w:rsid w:val="00AA75B7"/>
    <w:rsid w:val="00AB1D36"/>
    <w:rsid w:val="00AB3FCC"/>
    <w:rsid w:val="00AB5D29"/>
    <w:rsid w:val="00AB72E7"/>
    <w:rsid w:val="00AB7697"/>
    <w:rsid w:val="00AC14F3"/>
    <w:rsid w:val="00AC320B"/>
    <w:rsid w:val="00AC405E"/>
    <w:rsid w:val="00AD030C"/>
    <w:rsid w:val="00AD13E6"/>
    <w:rsid w:val="00AD25C9"/>
    <w:rsid w:val="00AD299E"/>
    <w:rsid w:val="00AD4031"/>
    <w:rsid w:val="00AE1E7F"/>
    <w:rsid w:val="00AE2730"/>
    <w:rsid w:val="00AF0E79"/>
    <w:rsid w:val="00AF140D"/>
    <w:rsid w:val="00AF4225"/>
    <w:rsid w:val="00AF468C"/>
    <w:rsid w:val="00AF597A"/>
    <w:rsid w:val="00AF62C8"/>
    <w:rsid w:val="00B023FE"/>
    <w:rsid w:val="00B04601"/>
    <w:rsid w:val="00B063AD"/>
    <w:rsid w:val="00B133E5"/>
    <w:rsid w:val="00B16DAA"/>
    <w:rsid w:val="00B17378"/>
    <w:rsid w:val="00B17975"/>
    <w:rsid w:val="00B17AEA"/>
    <w:rsid w:val="00B202B4"/>
    <w:rsid w:val="00B223FB"/>
    <w:rsid w:val="00B23D0E"/>
    <w:rsid w:val="00B25207"/>
    <w:rsid w:val="00B306C4"/>
    <w:rsid w:val="00B310C5"/>
    <w:rsid w:val="00B32F3A"/>
    <w:rsid w:val="00B33B02"/>
    <w:rsid w:val="00B33C14"/>
    <w:rsid w:val="00B34A6D"/>
    <w:rsid w:val="00B35598"/>
    <w:rsid w:val="00B40B5B"/>
    <w:rsid w:val="00B4287C"/>
    <w:rsid w:val="00B525CD"/>
    <w:rsid w:val="00B52D71"/>
    <w:rsid w:val="00B542C2"/>
    <w:rsid w:val="00B55BD9"/>
    <w:rsid w:val="00B55E89"/>
    <w:rsid w:val="00B63CC3"/>
    <w:rsid w:val="00B64EED"/>
    <w:rsid w:val="00B66076"/>
    <w:rsid w:val="00B721E4"/>
    <w:rsid w:val="00B72A22"/>
    <w:rsid w:val="00B735D6"/>
    <w:rsid w:val="00B74FEA"/>
    <w:rsid w:val="00B77E6C"/>
    <w:rsid w:val="00B8075F"/>
    <w:rsid w:val="00B807AB"/>
    <w:rsid w:val="00B87366"/>
    <w:rsid w:val="00B90341"/>
    <w:rsid w:val="00B90C81"/>
    <w:rsid w:val="00B90D6E"/>
    <w:rsid w:val="00B95E0E"/>
    <w:rsid w:val="00B96481"/>
    <w:rsid w:val="00BA10AB"/>
    <w:rsid w:val="00BA1BE1"/>
    <w:rsid w:val="00BA5D63"/>
    <w:rsid w:val="00BA7627"/>
    <w:rsid w:val="00BB0F09"/>
    <w:rsid w:val="00BB1D71"/>
    <w:rsid w:val="00BB376E"/>
    <w:rsid w:val="00BB4095"/>
    <w:rsid w:val="00BB5668"/>
    <w:rsid w:val="00BB59A5"/>
    <w:rsid w:val="00BB5AC7"/>
    <w:rsid w:val="00BC2F97"/>
    <w:rsid w:val="00BC3F23"/>
    <w:rsid w:val="00BC4672"/>
    <w:rsid w:val="00BC66F7"/>
    <w:rsid w:val="00BD11FA"/>
    <w:rsid w:val="00BD1489"/>
    <w:rsid w:val="00BD1DFF"/>
    <w:rsid w:val="00BD53E5"/>
    <w:rsid w:val="00BD6A6F"/>
    <w:rsid w:val="00BE36CB"/>
    <w:rsid w:val="00BE3B2E"/>
    <w:rsid w:val="00BE3FA2"/>
    <w:rsid w:val="00BF1D14"/>
    <w:rsid w:val="00C016BA"/>
    <w:rsid w:val="00C04DD3"/>
    <w:rsid w:val="00C0717E"/>
    <w:rsid w:val="00C07C0B"/>
    <w:rsid w:val="00C21819"/>
    <w:rsid w:val="00C23111"/>
    <w:rsid w:val="00C23766"/>
    <w:rsid w:val="00C24874"/>
    <w:rsid w:val="00C248E2"/>
    <w:rsid w:val="00C25467"/>
    <w:rsid w:val="00C35DCB"/>
    <w:rsid w:val="00C379B6"/>
    <w:rsid w:val="00C41847"/>
    <w:rsid w:val="00C4286D"/>
    <w:rsid w:val="00C4373A"/>
    <w:rsid w:val="00C44647"/>
    <w:rsid w:val="00C50AF8"/>
    <w:rsid w:val="00C50D6B"/>
    <w:rsid w:val="00C517EE"/>
    <w:rsid w:val="00C51F21"/>
    <w:rsid w:val="00C53EC2"/>
    <w:rsid w:val="00C5431B"/>
    <w:rsid w:val="00C54819"/>
    <w:rsid w:val="00C6447F"/>
    <w:rsid w:val="00C6524C"/>
    <w:rsid w:val="00C6672E"/>
    <w:rsid w:val="00C673B8"/>
    <w:rsid w:val="00C70934"/>
    <w:rsid w:val="00C81A4C"/>
    <w:rsid w:val="00C820E7"/>
    <w:rsid w:val="00C830A0"/>
    <w:rsid w:val="00C85122"/>
    <w:rsid w:val="00C86011"/>
    <w:rsid w:val="00C86AF8"/>
    <w:rsid w:val="00C87106"/>
    <w:rsid w:val="00C87BE8"/>
    <w:rsid w:val="00C87C75"/>
    <w:rsid w:val="00C87F26"/>
    <w:rsid w:val="00C90FA0"/>
    <w:rsid w:val="00C951DE"/>
    <w:rsid w:val="00C979F2"/>
    <w:rsid w:val="00CA4F30"/>
    <w:rsid w:val="00CA7F67"/>
    <w:rsid w:val="00CB061D"/>
    <w:rsid w:val="00CB0C00"/>
    <w:rsid w:val="00CB1D9C"/>
    <w:rsid w:val="00CB29B1"/>
    <w:rsid w:val="00CB35AE"/>
    <w:rsid w:val="00CB7E37"/>
    <w:rsid w:val="00CC20A0"/>
    <w:rsid w:val="00CC220B"/>
    <w:rsid w:val="00CC458B"/>
    <w:rsid w:val="00CC469D"/>
    <w:rsid w:val="00CC523E"/>
    <w:rsid w:val="00CC65E4"/>
    <w:rsid w:val="00CD1B95"/>
    <w:rsid w:val="00CD4526"/>
    <w:rsid w:val="00CD463E"/>
    <w:rsid w:val="00CD60A2"/>
    <w:rsid w:val="00CD6AC8"/>
    <w:rsid w:val="00CD76DF"/>
    <w:rsid w:val="00CE3B6C"/>
    <w:rsid w:val="00CF0794"/>
    <w:rsid w:val="00CF2D93"/>
    <w:rsid w:val="00CF348A"/>
    <w:rsid w:val="00CF34E3"/>
    <w:rsid w:val="00CF517D"/>
    <w:rsid w:val="00CF52B4"/>
    <w:rsid w:val="00CF6FAC"/>
    <w:rsid w:val="00CF7D89"/>
    <w:rsid w:val="00D005B6"/>
    <w:rsid w:val="00D0060F"/>
    <w:rsid w:val="00D007BB"/>
    <w:rsid w:val="00D03C06"/>
    <w:rsid w:val="00D0624A"/>
    <w:rsid w:val="00D106C6"/>
    <w:rsid w:val="00D106DA"/>
    <w:rsid w:val="00D111D2"/>
    <w:rsid w:val="00D12672"/>
    <w:rsid w:val="00D13703"/>
    <w:rsid w:val="00D13801"/>
    <w:rsid w:val="00D13F4F"/>
    <w:rsid w:val="00D1629F"/>
    <w:rsid w:val="00D17557"/>
    <w:rsid w:val="00D20D41"/>
    <w:rsid w:val="00D23F1A"/>
    <w:rsid w:val="00D26F46"/>
    <w:rsid w:val="00D27476"/>
    <w:rsid w:val="00D32F7E"/>
    <w:rsid w:val="00D34423"/>
    <w:rsid w:val="00D35809"/>
    <w:rsid w:val="00D35CEC"/>
    <w:rsid w:val="00D42929"/>
    <w:rsid w:val="00D42F81"/>
    <w:rsid w:val="00D43867"/>
    <w:rsid w:val="00D43B35"/>
    <w:rsid w:val="00D45799"/>
    <w:rsid w:val="00D46B40"/>
    <w:rsid w:val="00D52B08"/>
    <w:rsid w:val="00D53111"/>
    <w:rsid w:val="00D617E5"/>
    <w:rsid w:val="00D61E28"/>
    <w:rsid w:val="00D6226A"/>
    <w:rsid w:val="00D652AA"/>
    <w:rsid w:val="00D676CC"/>
    <w:rsid w:val="00D73BC7"/>
    <w:rsid w:val="00D75D50"/>
    <w:rsid w:val="00D762D2"/>
    <w:rsid w:val="00D829B0"/>
    <w:rsid w:val="00D86A17"/>
    <w:rsid w:val="00D8738C"/>
    <w:rsid w:val="00D912DB"/>
    <w:rsid w:val="00D923DF"/>
    <w:rsid w:val="00D92838"/>
    <w:rsid w:val="00D928D2"/>
    <w:rsid w:val="00D9374A"/>
    <w:rsid w:val="00D94C4A"/>
    <w:rsid w:val="00D97167"/>
    <w:rsid w:val="00DA387C"/>
    <w:rsid w:val="00DA3EEB"/>
    <w:rsid w:val="00DA4EBA"/>
    <w:rsid w:val="00DA720F"/>
    <w:rsid w:val="00DB1CF6"/>
    <w:rsid w:val="00DB656D"/>
    <w:rsid w:val="00DB691A"/>
    <w:rsid w:val="00DB6A29"/>
    <w:rsid w:val="00DB7096"/>
    <w:rsid w:val="00DB774B"/>
    <w:rsid w:val="00DC1AF3"/>
    <w:rsid w:val="00DC275F"/>
    <w:rsid w:val="00DC4E82"/>
    <w:rsid w:val="00DC6CE8"/>
    <w:rsid w:val="00DC7F32"/>
    <w:rsid w:val="00DD0624"/>
    <w:rsid w:val="00DD3268"/>
    <w:rsid w:val="00DD3FBF"/>
    <w:rsid w:val="00DD79E2"/>
    <w:rsid w:val="00DE0EC1"/>
    <w:rsid w:val="00DE4197"/>
    <w:rsid w:val="00DE51D9"/>
    <w:rsid w:val="00DE5C43"/>
    <w:rsid w:val="00DF13C3"/>
    <w:rsid w:val="00DF2028"/>
    <w:rsid w:val="00DF4428"/>
    <w:rsid w:val="00DF4456"/>
    <w:rsid w:val="00DF6349"/>
    <w:rsid w:val="00E00B0B"/>
    <w:rsid w:val="00E02443"/>
    <w:rsid w:val="00E024FE"/>
    <w:rsid w:val="00E04E2A"/>
    <w:rsid w:val="00E05DF7"/>
    <w:rsid w:val="00E06835"/>
    <w:rsid w:val="00E07F82"/>
    <w:rsid w:val="00E10083"/>
    <w:rsid w:val="00E132AD"/>
    <w:rsid w:val="00E14D28"/>
    <w:rsid w:val="00E15376"/>
    <w:rsid w:val="00E15650"/>
    <w:rsid w:val="00E15860"/>
    <w:rsid w:val="00E16A7D"/>
    <w:rsid w:val="00E20195"/>
    <w:rsid w:val="00E25E89"/>
    <w:rsid w:val="00E25E8E"/>
    <w:rsid w:val="00E26285"/>
    <w:rsid w:val="00E27098"/>
    <w:rsid w:val="00E3038D"/>
    <w:rsid w:val="00E30592"/>
    <w:rsid w:val="00E343BF"/>
    <w:rsid w:val="00E34AFC"/>
    <w:rsid w:val="00E362BD"/>
    <w:rsid w:val="00E40644"/>
    <w:rsid w:val="00E40C01"/>
    <w:rsid w:val="00E458F2"/>
    <w:rsid w:val="00E45BC2"/>
    <w:rsid w:val="00E5033A"/>
    <w:rsid w:val="00E5057E"/>
    <w:rsid w:val="00E510C0"/>
    <w:rsid w:val="00E53D2C"/>
    <w:rsid w:val="00E552D0"/>
    <w:rsid w:val="00E55895"/>
    <w:rsid w:val="00E55FEF"/>
    <w:rsid w:val="00E5783B"/>
    <w:rsid w:val="00E61671"/>
    <w:rsid w:val="00E61FB1"/>
    <w:rsid w:val="00E63827"/>
    <w:rsid w:val="00E63C65"/>
    <w:rsid w:val="00E64521"/>
    <w:rsid w:val="00E6485F"/>
    <w:rsid w:val="00E71F2E"/>
    <w:rsid w:val="00E81CBC"/>
    <w:rsid w:val="00E83518"/>
    <w:rsid w:val="00E84B4C"/>
    <w:rsid w:val="00E87B5F"/>
    <w:rsid w:val="00E93A4C"/>
    <w:rsid w:val="00E94580"/>
    <w:rsid w:val="00E94B6D"/>
    <w:rsid w:val="00E95598"/>
    <w:rsid w:val="00E96F2A"/>
    <w:rsid w:val="00E97DBC"/>
    <w:rsid w:val="00EA270F"/>
    <w:rsid w:val="00EA43D6"/>
    <w:rsid w:val="00EA7352"/>
    <w:rsid w:val="00EA743C"/>
    <w:rsid w:val="00EB14EF"/>
    <w:rsid w:val="00EC1CAC"/>
    <w:rsid w:val="00EC1F5D"/>
    <w:rsid w:val="00EC27A4"/>
    <w:rsid w:val="00ED166E"/>
    <w:rsid w:val="00ED2746"/>
    <w:rsid w:val="00ED2E6B"/>
    <w:rsid w:val="00EE0643"/>
    <w:rsid w:val="00EE2DFE"/>
    <w:rsid w:val="00EE4A0A"/>
    <w:rsid w:val="00EE67B8"/>
    <w:rsid w:val="00EE6D43"/>
    <w:rsid w:val="00EF5B52"/>
    <w:rsid w:val="00F045EB"/>
    <w:rsid w:val="00F0524C"/>
    <w:rsid w:val="00F05C36"/>
    <w:rsid w:val="00F0658E"/>
    <w:rsid w:val="00F10277"/>
    <w:rsid w:val="00F10969"/>
    <w:rsid w:val="00F10A51"/>
    <w:rsid w:val="00F121A0"/>
    <w:rsid w:val="00F13A0A"/>
    <w:rsid w:val="00F1705F"/>
    <w:rsid w:val="00F20B32"/>
    <w:rsid w:val="00F219D3"/>
    <w:rsid w:val="00F229CA"/>
    <w:rsid w:val="00F22F6A"/>
    <w:rsid w:val="00F230F8"/>
    <w:rsid w:val="00F2446A"/>
    <w:rsid w:val="00F2637E"/>
    <w:rsid w:val="00F276BA"/>
    <w:rsid w:val="00F27E7C"/>
    <w:rsid w:val="00F322CB"/>
    <w:rsid w:val="00F37E95"/>
    <w:rsid w:val="00F43BA6"/>
    <w:rsid w:val="00F46B47"/>
    <w:rsid w:val="00F514BF"/>
    <w:rsid w:val="00F52999"/>
    <w:rsid w:val="00F5395D"/>
    <w:rsid w:val="00F5454C"/>
    <w:rsid w:val="00F57AFB"/>
    <w:rsid w:val="00F60389"/>
    <w:rsid w:val="00F611B0"/>
    <w:rsid w:val="00F61D25"/>
    <w:rsid w:val="00F63A2E"/>
    <w:rsid w:val="00F708BC"/>
    <w:rsid w:val="00F71CDF"/>
    <w:rsid w:val="00F742D8"/>
    <w:rsid w:val="00F749AA"/>
    <w:rsid w:val="00F75B66"/>
    <w:rsid w:val="00F76921"/>
    <w:rsid w:val="00F81C64"/>
    <w:rsid w:val="00F822BB"/>
    <w:rsid w:val="00F84AB7"/>
    <w:rsid w:val="00F87BCE"/>
    <w:rsid w:val="00F9098E"/>
    <w:rsid w:val="00F91196"/>
    <w:rsid w:val="00F93B3B"/>
    <w:rsid w:val="00F93C41"/>
    <w:rsid w:val="00F946AF"/>
    <w:rsid w:val="00FA086C"/>
    <w:rsid w:val="00FA7338"/>
    <w:rsid w:val="00FB226C"/>
    <w:rsid w:val="00FB5865"/>
    <w:rsid w:val="00FB58B5"/>
    <w:rsid w:val="00FB6755"/>
    <w:rsid w:val="00FB7556"/>
    <w:rsid w:val="00FC19A2"/>
    <w:rsid w:val="00FC1A21"/>
    <w:rsid w:val="00FC1F3E"/>
    <w:rsid w:val="00FC5184"/>
    <w:rsid w:val="00FD0E9E"/>
    <w:rsid w:val="00FD1F73"/>
    <w:rsid w:val="00FD2D68"/>
    <w:rsid w:val="00FD300D"/>
    <w:rsid w:val="00FD3D5E"/>
    <w:rsid w:val="00FD43B5"/>
    <w:rsid w:val="00FD7A6C"/>
    <w:rsid w:val="00FE30A8"/>
    <w:rsid w:val="00FE4150"/>
    <w:rsid w:val="00FE74D4"/>
    <w:rsid w:val="00FF402E"/>
    <w:rsid w:val="00FF4799"/>
    <w:rsid w:val="00FF6921"/>
    <w:rsid w:val="00FF69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3B2E"/>
    <w:pPr>
      <w:spacing w:before="120"/>
      <w:jc w:val="both"/>
    </w:pPr>
    <w:rPr>
      <w:rFonts w:ascii="Arial" w:hAnsi="Arial"/>
      <w:color w:val="000000"/>
      <w:lang w:val="en-GB"/>
    </w:rPr>
  </w:style>
  <w:style w:type="paragraph" w:styleId="Heading1">
    <w:name w:val="heading 1"/>
    <w:basedOn w:val="Normal"/>
    <w:next w:val="Normal"/>
    <w:link w:val="Heading1Char"/>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qFormat/>
    <w:rsid w:val="00BE3B2E"/>
    <w:pPr>
      <w:keepNext/>
      <w:spacing w:before="240" w:after="60"/>
      <w:jc w:val="left"/>
      <w:outlineLvl w:val="2"/>
    </w:pPr>
    <w:rPr>
      <w:rFonts w:cs="Arial"/>
      <w:b/>
      <w:bCs/>
      <w:color w:val="auto"/>
      <w:sz w:val="24"/>
      <w:szCs w:val="26"/>
      <w:lang w:val="en-US"/>
    </w:rPr>
  </w:style>
  <w:style w:type="paragraph" w:styleId="Heading4">
    <w:name w:val="heading 4"/>
    <w:basedOn w:val="Normal"/>
    <w:next w:val="Normal"/>
    <w:link w:val="Heading4Char"/>
    <w:qFormat/>
    <w:rsid w:val="00BE3B2E"/>
    <w:pPr>
      <w:keepNext/>
      <w:spacing w:before="240" w:after="60"/>
      <w:jc w:val="left"/>
      <w:outlineLvl w:val="3"/>
    </w:pPr>
    <w:rPr>
      <w:b/>
      <w:bCs/>
      <w:i/>
      <w:color w:val="auto"/>
      <w:sz w:val="24"/>
      <w:szCs w:val="28"/>
      <w:lang w:val="en-US"/>
    </w:rPr>
  </w:style>
  <w:style w:type="paragraph" w:styleId="Heading5">
    <w:name w:val="heading 5"/>
    <w:basedOn w:val="Normal"/>
    <w:next w:val="Normal"/>
    <w:link w:val="Heading5Char"/>
    <w:qFormat/>
    <w:rsid w:val="00BE3B2E"/>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16DF9"/>
    <w:rPr>
      <w:rFonts w:ascii="Arial" w:hAnsi="Arial" w:cs="Arial"/>
      <w:b/>
      <w:bCs/>
      <w:iCs/>
      <w:sz w:val="28"/>
      <w:szCs w:val="28"/>
      <w:lang w:val="en-US" w:eastAsia="en-US" w:bidi="ar-SA"/>
    </w:rPr>
  </w:style>
  <w:style w:type="character" w:customStyle="1" w:styleId="Heading3Char">
    <w:name w:val="Heading 3 Char"/>
    <w:basedOn w:val="DefaultParagraphFont"/>
    <w:link w:val="Heading3"/>
    <w:rsid w:val="00365A1B"/>
    <w:rPr>
      <w:rFonts w:ascii="Arial" w:hAnsi="Arial" w:cs="Arial"/>
      <w:b/>
      <w:bCs/>
      <w:sz w:val="24"/>
      <w:szCs w:val="26"/>
      <w:lang w:val="en-US" w:eastAsia="en-US" w:bidi="ar-SA"/>
    </w:rPr>
  </w:style>
  <w:style w:type="paragraph" w:styleId="Header">
    <w:name w:val="header"/>
    <w:basedOn w:val="Normal"/>
    <w:link w:val="HeaderChar"/>
    <w:rsid w:val="00BE3B2E"/>
    <w:pPr>
      <w:tabs>
        <w:tab w:val="center" w:pos="4320"/>
        <w:tab w:val="right" w:pos="8640"/>
      </w:tabs>
    </w:pPr>
  </w:style>
  <w:style w:type="paragraph" w:styleId="Footer">
    <w:name w:val="footer"/>
    <w:basedOn w:val="Normal"/>
    <w:link w:val="FooterChar"/>
    <w:rsid w:val="00BE3B2E"/>
    <w:pPr>
      <w:tabs>
        <w:tab w:val="center" w:pos="4320"/>
        <w:tab w:val="right" w:pos="8640"/>
      </w:tabs>
    </w:pPr>
  </w:style>
  <w:style w:type="character" w:styleId="PageNumber">
    <w:name w:val="page number"/>
    <w:basedOn w:val="DefaultParagraphFont"/>
    <w:rsid w:val="00BE3B2E"/>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BE3B2E"/>
  </w:style>
  <w:style w:type="paragraph" w:styleId="HTMLPreformatted">
    <w:name w:val="HTML Preformatted"/>
    <w:basedOn w:val="Normal"/>
    <w:link w:val="HTMLPreformattedChar"/>
    <w:rsid w:val="00BE3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basedOn w:val="DefaultParagraphFont"/>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BE3B2E"/>
    <w:pPr>
      <w:jc w:val="center"/>
    </w:pPr>
    <w:rPr>
      <w:sz w:val="40"/>
      <w:lang w:val="sr-Latn-CS"/>
    </w:rPr>
  </w:style>
  <w:style w:type="paragraph" w:styleId="TOC1">
    <w:name w:val="toc 1"/>
    <w:basedOn w:val="Normal"/>
    <w:next w:val="Normal"/>
    <w:autoRedefine/>
    <w:uiPriority w:val="39"/>
    <w:rsid w:val="00CD6AC8"/>
  </w:style>
  <w:style w:type="character" w:styleId="Hyperlink">
    <w:name w:val="Hyperlink"/>
    <w:basedOn w:val="DefaultParagraphFont"/>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jc w:val="both"/>
    </w:pPr>
    <w:rPr>
      <w:rFonts w:ascii="Arial" w:hAnsi="Arial" w:cs="Arial"/>
      <w:color w:val="000000"/>
      <w:szCs w:val="24"/>
    </w:rPr>
  </w:style>
  <w:style w:type="character" w:customStyle="1" w:styleId="DefaultChar">
    <w:name w:val="Default Char"/>
    <w:basedOn w:val="DefaultParagraphFont"/>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style>
  <w:style w:type="table" w:styleId="TableGrid">
    <w:name w:val="Table Grid"/>
    <w:basedOn w:val="TableNormal"/>
    <w:uiPriority w:val="59"/>
    <w:rsid w:val="00C44647"/>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basedOn w:val="HTMLPreformattedChar"/>
    <w:link w:val="StyleHTMLPreformattedCustomColorRGB12801601"/>
    <w:rsid w:val="007338EE"/>
    <w:rPr>
      <w:color w:val="8000A0"/>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StyleCM112ptBoldBlack">
    <w:name w:val="Style CM1 + 12 pt Bold Black"/>
    <w:basedOn w:val="CM1"/>
    <w:link w:val="StyleCM112ptBoldBlackChar"/>
    <w:rsid w:val="009E3AA0"/>
    <w:rPr>
      <w:b/>
      <w:bCs/>
      <w:color w:val="000000"/>
    </w:rPr>
  </w:style>
  <w:style w:type="character" w:customStyle="1" w:styleId="StyleCM112ptBoldBlackChar">
    <w:name w:val="Style CM1 + 12 pt Bold Black Char"/>
    <w:basedOn w:val="CM1Char"/>
    <w:link w:val="StyleCM112ptBoldBlack"/>
    <w:rsid w:val="009E3AA0"/>
    <w:rPr>
      <w:b/>
      <w:bCs/>
    </w:rPr>
  </w:style>
  <w:style w:type="paragraph" w:styleId="BodyText">
    <w:name w:val="Body Text"/>
    <w:basedOn w:val="Normal"/>
    <w:link w:val="BodyTextChar"/>
    <w:rsid w:val="009E3AA0"/>
    <w:pPr>
      <w:spacing w:before="0"/>
    </w:pPr>
    <w:rPr>
      <w:rFonts w:ascii="Times New Roman" w:hAnsi="Times New Roman" w:cs="Arial"/>
      <w:color w:val="auto"/>
      <w:sz w:val="24"/>
      <w:szCs w:val="24"/>
      <w:lang w:val="hr-HR"/>
    </w:rPr>
  </w:style>
  <w:style w:type="paragraph" w:styleId="TOC4">
    <w:name w:val="toc 4"/>
    <w:basedOn w:val="Normal"/>
    <w:next w:val="Normal"/>
    <w:autoRedefine/>
    <w:semiHidden/>
    <w:rsid w:val="009E3AA0"/>
    <w:pPr>
      <w:spacing w:before="0"/>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semiHidden/>
    <w:rsid w:val="009E3AA0"/>
    <w:pPr>
      <w:spacing w:before="0"/>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semiHidden/>
    <w:rsid w:val="009E3AA0"/>
    <w:pPr>
      <w:spacing w:before="0"/>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semiHidden/>
    <w:rsid w:val="009E3AA0"/>
    <w:pPr>
      <w:spacing w:before="0"/>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semiHidden/>
    <w:rsid w:val="009E3AA0"/>
    <w:pPr>
      <w:spacing w:before="0"/>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semiHidden/>
    <w:rsid w:val="009E3AA0"/>
    <w:pPr>
      <w:spacing w:before="0"/>
      <w:ind w:left="1920"/>
      <w:jc w:val="left"/>
    </w:pPr>
    <w:rPr>
      <w:rFonts w:ascii="Times New Roman" w:hAnsi="Times New Roman"/>
      <w:color w:val="auto"/>
      <w:sz w:val="24"/>
      <w:szCs w:val="24"/>
      <w:lang w:val="sr-Latn-CS" w:eastAsia="sr-Latn-CS"/>
    </w:rPr>
  </w:style>
  <w:style w:type="paragraph" w:customStyle="1" w:styleId="Figure1">
    <w:name w:val="Figure1"/>
    <w:basedOn w:val="Normal"/>
    <w:rsid w:val="009E3AA0"/>
    <w:pPr>
      <w:spacing w:after="120"/>
      <w:jc w:val="center"/>
    </w:pPr>
  </w:style>
  <w:style w:type="paragraph" w:customStyle="1" w:styleId="Equation1">
    <w:name w:val="Equation1"/>
    <w:basedOn w:val="Normal"/>
    <w:rsid w:val="009E3AA0"/>
    <w:pPr>
      <w:ind w:left="567"/>
    </w:pPr>
  </w:style>
  <w:style w:type="paragraph" w:styleId="FootnoteText">
    <w:name w:val="footnote text"/>
    <w:basedOn w:val="Normal"/>
    <w:link w:val="FootnoteTextChar"/>
    <w:unhideWhenUsed/>
    <w:rsid w:val="009E3AA0"/>
    <w:pPr>
      <w:spacing w:before="0"/>
      <w:jc w:val="left"/>
    </w:pPr>
    <w:rPr>
      <w:rFonts w:ascii="Calibri" w:eastAsia="Calibri" w:hAnsi="Calibri"/>
      <w:color w:val="auto"/>
      <w:lang w:val="en-US"/>
    </w:rPr>
  </w:style>
  <w:style w:type="character" w:customStyle="1" w:styleId="FootnoteTextChar">
    <w:name w:val="Footnote Text Char"/>
    <w:basedOn w:val="DefaultParagraphFont"/>
    <w:link w:val="FootnoteText"/>
    <w:rsid w:val="009E3AA0"/>
    <w:rPr>
      <w:rFonts w:ascii="Calibri" w:eastAsia="Calibri" w:hAnsi="Calibri"/>
      <w:lang w:val="en-US" w:eastAsia="en-US" w:bidi="ar-SA"/>
    </w:rPr>
  </w:style>
  <w:style w:type="paragraph" w:styleId="BalloonText">
    <w:name w:val="Balloon Text"/>
    <w:basedOn w:val="Normal"/>
    <w:link w:val="BalloonTextChar"/>
    <w:uiPriority w:val="99"/>
    <w:unhideWhenUsed/>
    <w:rsid w:val="009E3AA0"/>
    <w:pPr>
      <w:spacing w:before="0"/>
    </w:pPr>
    <w:rPr>
      <w:rFonts w:ascii="Tahoma" w:eastAsia="Calibri" w:hAnsi="Tahoma" w:cs="Tahoma"/>
      <w:color w:val="auto"/>
      <w:sz w:val="16"/>
      <w:szCs w:val="16"/>
      <w:lang w:val="sr-Latn-CS"/>
    </w:rPr>
  </w:style>
  <w:style w:type="character" w:customStyle="1" w:styleId="BalloonTextChar">
    <w:name w:val="Balloon Text Char"/>
    <w:basedOn w:val="DefaultParagraphFont"/>
    <w:link w:val="BalloonText"/>
    <w:uiPriority w:val="99"/>
    <w:rsid w:val="009E3AA0"/>
    <w:rPr>
      <w:rFonts w:ascii="Tahoma" w:eastAsia="Calibri" w:hAnsi="Tahoma" w:cs="Tahoma"/>
      <w:sz w:val="16"/>
      <w:szCs w:val="16"/>
      <w:lang w:val="sr-Latn-CS" w:eastAsia="en-US" w:bidi="ar-SA"/>
    </w:rPr>
  </w:style>
  <w:style w:type="paragraph" w:customStyle="1" w:styleId="Style1">
    <w:name w:val="Style1"/>
    <w:basedOn w:val="Normal"/>
    <w:link w:val="Style1Char"/>
    <w:qFormat/>
    <w:rsid w:val="009E3AA0"/>
    <w:pPr>
      <w:spacing w:before="0" w:after="200" w:line="276" w:lineRule="auto"/>
    </w:pPr>
    <w:rPr>
      <w:rFonts w:ascii="Times New Roman" w:eastAsia="Calibri" w:hAnsi="Times New Roman"/>
      <w:color w:val="auto"/>
      <w:sz w:val="24"/>
      <w:szCs w:val="24"/>
      <w:lang w:val="sr-Latn-CS"/>
    </w:rPr>
  </w:style>
  <w:style w:type="character" w:customStyle="1" w:styleId="Style1Char">
    <w:name w:val="Style1 Char"/>
    <w:basedOn w:val="DefaultParagraphFont"/>
    <w:link w:val="Style1"/>
    <w:rsid w:val="009E3AA0"/>
    <w:rPr>
      <w:rFonts w:eastAsia="Calibri"/>
      <w:sz w:val="24"/>
      <w:szCs w:val="24"/>
      <w:lang w:val="sr-Latn-CS" w:eastAsia="en-US" w:bidi="ar-SA"/>
    </w:rPr>
  </w:style>
  <w:style w:type="paragraph" w:customStyle="1" w:styleId="StyleEquation1Before0pt">
    <w:name w:val="Style Equation1 + Before:  0 pt"/>
    <w:basedOn w:val="Equation1"/>
    <w:autoRedefine/>
    <w:rsid w:val="009E3AA0"/>
  </w:style>
  <w:style w:type="character" w:customStyle="1" w:styleId="CharChar2">
    <w:name w:val="Char Char2"/>
    <w:basedOn w:val="DefaultParagraphFont"/>
    <w:rsid w:val="00D8738C"/>
    <w:rPr>
      <w:rFonts w:ascii="Arial" w:hAnsi="Arial" w:cs="Arial"/>
      <w:b/>
      <w:bCs/>
      <w:iCs/>
      <w:sz w:val="28"/>
      <w:szCs w:val="28"/>
      <w:lang w:val="en-US" w:eastAsia="en-US" w:bidi="ar-SA"/>
    </w:rPr>
  </w:style>
  <w:style w:type="paragraph" w:customStyle="1" w:styleId="CM2">
    <w:name w:val="CM2"/>
    <w:basedOn w:val="Default"/>
    <w:next w:val="Default"/>
    <w:rsid w:val="00D8738C"/>
    <w:pPr>
      <w:spacing w:line="318" w:lineRule="atLeast"/>
    </w:pPr>
    <w:rPr>
      <w:rFonts w:cs="Times New Roman"/>
      <w:color w:val="auto"/>
    </w:rPr>
  </w:style>
  <w:style w:type="paragraph" w:customStyle="1" w:styleId="CM25">
    <w:name w:val="CM25"/>
    <w:basedOn w:val="Default"/>
    <w:next w:val="Default"/>
    <w:rsid w:val="00D8738C"/>
    <w:pPr>
      <w:spacing w:after="480"/>
    </w:pPr>
    <w:rPr>
      <w:rFonts w:cs="Times New Roman"/>
      <w:color w:val="auto"/>
    </w:rPr>
  </w:style>
  <w:style w:type="paragraph" w:customStyle="1" w:styleId="CM4">
    <w:name w:val="CM4"/>
    <w:basedOn w:val="Default"/>
    <w:next w:val="Default"/>
    <w:rsid w:val="00D8738C"/>
    <w:pPr>
      <w:spacing w:line="288" w:lineRule="atLeast"/>
    </w:pPr>
    <w:rPr>
      <w:rFonts w:cs="Times New Roman"/>
      <w:color w:val="auto"/>
    </w:rPr>
  </w:style>
  <w:style w:type="paragraph" w:customStyle="1" w:styleId="CM24">
    <w:name w:val="CM24"/>
    <w:basedOn w:val="Default"/>
    <w:next w:val="Default"/>
    <w:rsid w:val="00D8738C"/>
    <w:pPr>
      <w:spacing w:after="83"/>
    </w:pPr>
    <w:rPr>
      <w:rFonts w:cs="Times New Roman"/>
      <w:color w:val="auto"/>
    </w:rPr>
  </w:style>
  <w:style w:type="paragraph" w:customStyle="1" w:styleId="CM5">
    <w:name w:val="CM5"/>
    <w:basedOn w:val="Default"/>
    <w:next w:val="Default"/>
    <w:rsid w:val="00D8738C"/>
    <w:pPr>
      <w:spacing w:line="288" w:lineRule="atLeast"/>
    </w:pPr>
    <w:rPr>
      <w:rFonts w:cs="Times New Roman"/>
      <w:color w:val="auto"/>
    </w:rPr>
  </w:style>
  <w:style w:type="paragraph" w:customStyle="1" w:styleId="CM6">
    <w:name w:val="CM6"/>
    <w:basedOn w:val="Default"/>
    <w:next w:val="Default"/>
    <w:rsid w:val="00D8738C"/>
    <w:pPr>
      <w:spacing w:line="288" w:lineRule="atLeast"/>
    </w:pPr>
    <w:rPr>
      <w:rFonts w:cs="Times New Roman"/>
      <w:color w:val="auto"/>
    </w:rPr>
  </w:style>
  <w:style w:type="paragraph" w:customStyle="1" w:styleId="CM26">
    <w:name w:val="CM26"/>
    <w:basedOn w:val="Default"/>
    <w:next w:val="Default"/>
    <w:rsid w:val="00D8738C"/>
    <w:pPr>
      <w:spacing w:after="518"/>
    </w:pPr>
    <w:rPr>
      <w:rFonts w:cs="Times New Roman"/>
      <w:color w:val="auto"/>
    </w:rPr>
  </w:style>
  <w:style w:type="paragraph" w:customStyle="1" w:styleId="CM20">
    <w:name w:val="CM20"/>
    <w:basedOn w:val="Default"/>
    <w:next w:val="Default"/>
    <w:rsid w:val="00D8738C"/>
    <w:pPr>
      <w:spacing w:after="505"/>
    </w:pPr>
    <w:rPr>
      <w:rFonts w:cs="Times New Roman"/>
      <w:color w:val="auto"/>
    </w:rPr>
  </w:style>
  <w:style w:type="paragraph" w:customStyle="1" w:styleId="CM18">
    <w:name w:val="CM18"/>
    <w:basedOn w:val="Default"/>
    <w:next w:val="Default"/>
    <w:rsid w:val="00D8738C"/>
    <w:pPr>
      <w:spacing w:after="83"/>
    </w:pPr>
    <w:rPr>
      <w:rFonts w:cs="Times New Roman"/>
      <w:color w:val="auto"/>
    </w:rPr>
  </w:style>
  <w:style w:type="paragraph" w:customStyle="1" w:styleId="CM9">
    <w:name w:val="CM9"/>
    <w:basedOn w:val="Default"/>
    <w:next w:val="Default"/>
    <w:rsid w:val="00D8738C"/>
    <w:rPr>
      <w:rFonts w:cs="Times New Roman"/>
      <w:color w:val="auto"/>
    </w:rPr>
  </w:style>
  <w:style w:type="paragraph" w:customStyle="1" w:styleId="CM10">
    <w:name w:val="CM10"/>
    <w:basedOn w:val="Default"/>
    <w:next w:val="Default"/>
    <w:rsid w:val="00D8738C"/>
    <w:pPr>
      <w:spacing w:line="288" w:lineRule="atLeast"/>
    </w:pPr>
    <w:rPr>
      <w:rFonts w:cs="Times New Roman"/>
      <w:color w:val="auto"/>
    </w:rPr>
  </w:style>
  <w:style w:type="paragraph" w:customStyle="1" w:styleId="CM11">
    <w:name w:val="CM11"/>
    <w:basedOn w:val="Default"/>
    <w:next w:val="Default"/>
    <w:rsid w:val="00D8738C"/>
    <w:pPr>
      <w:spacing w:line="288" w:lineRule="atLeast"/>
    </w:pPr>
    <w:rPr>
      <w:rFonts w:cs="Times New Roman"/>
      <w:color w:val="auto"/>
    </w:rPr>
  </w:style>
  <w:style w:type="paragraph" w:customStyle="1" w:styleId="CM19">
    <w:name w:val="CM19"/>
    <w:basedOn w:val="Default"/>
    <w:next w:val="Default"/>
    <w:rsid w:val="00D8738C"/>
    <w:pPr>
      <w:spacing w:after="710"/>
    </w:pPr>
    <w:rPr>
      <w:rFonts w:cs="Times New Roman"/>
      <w:color w:val="auto"/>
    </w:rPr>
  </w:style>
  <w:style w:type="paragraph" w:customStyle="1" w:styleId="CM28">
    <w:name w:val="CM28"/>
    <w:basedOn w:val="Default"/>
    <w:next w:val="Default"/>
    <w:rsid w:val="00D8738C"/>
    <w:pPr>
      <w:spacing w:after="513"/>
    </w:pPr>
    <w:rPr>
      <w:rFonts w:cs="Times New Roman"/>
      <w:color w:val="auto"/>
    </w:rPr>
  </w:style>
  <w:style w:type="paragraph" w:customStyle="1" w:styleId="CM7">
    <w:name w:val="CM7"/>
    <w:basedOn w:val="Default"/>
    <w:next w:val="Default"/>
    <w:rsid w:val="00D8738C"/>
    <w:pPr>
      <w:spacing w:line="288" w:lineRule="atLeast"/>
    </w:pPr>
    <w:rPr>
      <w:rFonts w:cs="Times New Roman"/>
      <w:color w:val="auto"/>
    </w:rPr>
  </w:style>
  <w:style w:type="paragraph" w:customStyle="1" w:styleId="StyleDefaultJustifiedFirstline063cm">
    <w:name w:val="Style Default + Justified First line:  0.63 cm"/>
    <w:basedOn w:val="Default"/>
    <w:rsid w:val="00D8738C"/>
    <w:pPr>
      <w:ind w:firstLine="360"/>
    </w:pPr>
    <w:rPr>
      <w:rFonts w:cs="Times New Roman"/>
      <w:szCs w:val="20"/>
    </w:rPr>
  </w:style>
  <w:style w:type="paragraph" w:customStyle="1" w:styleId="StyleCM112ptBlack">
    <w:name w:val="Style CM1 + 12 pt Black"/>
    <w:basedOn w:val="CM1"/>
    <w:rsid w:val="00D8738C"/>
    <w:rPr>
      <w:color w:val="000000"/>
    </w:rPr>
  </w:style>
  <w:style w:type="paragraph" w:customStyle="1" w:styleId="StyleStyleCM112ptBlackJustified">
    <w:name w:val="Style Style CM1 + 12 pt Black + Justified"/>
    <w:basedOn w:val="StyleCM112ptBlack"/>
    <w:rsid w:val="00D8738C"/>
    <w:rPr>
      <w:szCs w:val="20"/>
    </w:rPr>
  </w:style>
  <w:style w:type="paragraph" w:customStyle="1" w:styleId="StyleDefaultBold">
    <w:name w:val="Style Default + Bold"/>
    <w:basedOn w:val="Default"/>
    <w:rsid w:val="00D8738C"/>
    <w:rPr>
      <w:bCs/>
    </w:rPr>
  </w:style>
  <w:style w:type="paragraph" w:customStyle="1" w:styleId="StyleDefaultBoldBefore6pt">
    <w:name w:val="Style Default + Bold Before:  6 pt"/>
    <w:basedOn w:val="Default"/>
    <w:rsid w:val="00D8738C"/>
    <w:pPr>
      <w:spacing w:before="120"/>
    </w:pPr>
    <w:rPr>
      <w:rFonts w:cs="Times New Roman"/>
      <w:bCs/>
      <w:szCs w:val="20"/>
    </w:rPr>
  </w:style>
  <w:style w:type="paragraph" w:customStyle="1" w:styleId="StyleDefaultBold1">
    <w:name w:val="Style Default + Bold1"/>
    <w:basedOn w:val="Default"/>
    <w:rsid w:val="00D8738C"/>
    <w:rPr>
      <w:bCs/>
    </w:rPr>
  </w:style>
  <w:style w:type="paragraph" w:customStyle="1" w:styleId="StyleStyleCM112ptBoldBlackBefore6pt">
    <w:name w:val="Style Style CM1 + 12 pt Bold Black + Before:  6 pt"/>
    <w:basedOn w:val="StyleCM112ptBoldBlack"/>
    <w:rsid w:val="00D8738C"/>
    <w:pPr>
      <w:spacing w:before="120"/>
    </w:pPr>
    <w:rPr>
      <w:b w:val="0"/>
      <w:szCs w:val="20"/>
    </w:rPr>
  </w:style>
  <w:style w:type="paragraph" w:customStyle="1" w:styleId="table-para">
    <w:name w:val="table-para"/>
    <w:basedOn w:val="Normal"/>
    <w:rsid w:val="00D8738C"/>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D8738C"/>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D8738C"/>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D8738C"/>
  </w:style>
  <w:style w:type="character" w:customStyle="1" w:styleId="figuremediaobject">
    <w:name w:val="figuremediaobject"/>
    <w:basedOn w:val="DefaultParagraphFont"/>
    <w:rsid w:val="00D8738C"/>
  </w:style>
  <w:style w:type="character" w:customStyle="1" w:styleId="figure-title">
    <w:name w:val="figure-title"/>
    <w:basedOn w:val="DefaultParagraphFont"/>
    <w:rsid w:val="00D8738C"/>
  </w:style>
  <w:style w:type="character" w:customStyle="1" w:styleId="figure-titlelabel">
    <w:name w:val="figure-titlelabel"/>
    <w:basedOn w:val="DefaultParagraphFont"/>
    <w:rsid w:val="00D8738C"/>
  </w:style>
  <w:style w:type="character" w:customStyle="1" w:styleId="example-title">
    <w:name w:val="example-title"/>
    <w:basedOn w:val="DefaultParagraphFont"/>
    <w:rsid w:val="00D8738C"/>
  </w:style>
  <w:style w:type="character" w:customStyle="1" w:styleId="example-titlelabel">
    <w:name w:val="example-titlelabel"/>
    <w:basedOn w:val="DefaultParagraphFont"/>
    <w:rsid w:val="00D8738C"/>
  </w:style>
  <w:style w:type="paragraph" w:customStyle="1" w:styleId="last-para">
    <w:name w:val="last-para"/>
    <w:basedOn w:val="Normal"/>
    <w:rsid w:val="00D8738C"/>
    <w:pPr>
      <w:spacing w:before="100" w:beforeAutospacing="1" w:after="100" w:afterAutospacing="1"/>
      <w:jc w:val="left"/>
    </w:pPr>
    <w:rPr>
      <w:rFonts w:ascii="Times New Roman" w:hAnsi="Times New Roman"/>
      <w:color w:val="auto"/>
      <w:sz w:val="24"/>
      <w:szCs w:val="24"/>
      <w:lang w:val="en-US"/>
    </w:rPr>
  </w:style>
  <w:style w:type="paragraph" w:styleId="BodyTextIndent">
    <w:name w:val="Body Text Indent"/>
    <w:basedOn w:val="Normal"/>
    <w:link w:val="BodyTextIndentChar"/>
    <w:rsid w:val="00D8738C"/>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link w:val="BodyTextIndent2Char"/>
    <w:rsid w:val="00D8738C"/>
    <w:pPr>
      <w:autoSpaceDE w:val="0"/>
      <w:autoSpaceDN w:val="0"/>
      <w:adjustRightInd w:val="0"/>
      <w:spacing w:before="0" w:line="360" w:lineRule="auto"/>
      <w:ind w:firstLine="720"/>
    </w:pPr>
    <w:rPr>
      <w:rFonts w:ascii="Times New Roman" w:hAnsi="Times New Roman"/>
      <w:color w:val="auto"/>
      <w:sz w:val="22"/>
      <w:szCs w:val="24"/>
      <w:lang w:val="hr-HR"/>
    </w:rPr>
  </w:style>
  <w:style w:type="paragraph" w:customStyle="1" w:styleId="Buleti">
    <w:name w:val="Buleti"/>
    <w:basedOn w:val="BodyText"/>
    <w:rsid w:val="00D8738C"/>
    <w:pPr>
      <w:numPr>
        <w:numId w:val="1"/>
      </w:numPr>
      <w:tabs>
        <w:tab w:val="left" w:pos="2880"/>
      </w:tabs>
      <w:spacing w:after="120"/>
    </w:pPr>
    <w:rPr>
      <w:sz w:val="22"/>
      <w:szCs w:val="20"/>
      <w:lang w:val="en-US" w:eastAsia="de-DE"/>
    </w:rPr>
  </w:style>
  <w:style w:type="paragraph" w:customStyle="1" w:styleId="SlikaCentar">
    <w:name w:val="SlikaCentar"/>
    <w:basedOn w:val="Normal"/>
    <w:rsid w:val="00D8738C"/>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D8738C"/>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D8738C"/>
  </w:style>
  <w:style w:type="character" w:customStyle="1" w:styleId="table-titlelabel">
    <w:name w:val="table-titlelabel"/>
    <w:basedOn w:val="DefaultParagraphFont"/>
    <w:rsid w:val="00D8738C"/>
  </w:style>
  <w:style w:type="paragraph" w:customStyle="1" w:styleId="para1">
    <w:name w:val="para1"/>
    <w:basedOn w:val="Normal"/>
    <w:rsid w:val="00D8738C"/>
    <w:pPr>
      <w:spacing w:before="0" w:after="268"/>
      <w:jc w:val="left"/>
    </w:pPr>
    <w:rPr>
      <w:rFonts w:ascii="Times New Roman" w:hAnsi="Times New Roman"/>
      <w:color w:val="22436C"/>
      <w:sz w:val="19"/>
      <w:szCs w:val="19"/>
      <w:lang w:val="sr-Latn-CS" w:eastAsia="sr-Latn-CS"/>
    </w:rPr>
  </w:style>
  <w:style w:type="paragraph" w:customStyle="1" w:styleId="para25">
    <w:name w:val="para25"/>
    <w:basedOn w:val="Normal"/>
    <w:rsid w:val="00D8738C"/>
    <w:pPr>
      <w:spacing w:before="0" w:after="268"/>
      <w:jc w:val="left"/>
    </w:pPr>
    <w:rPr>
      <w:rFonts w:ascii="Times New Roman" w:hAnsi="Times New Roman"/>
      <w:color w:val="22436C"/>
      <w:sz w:val="24"/>
      <w:szCs w:val="24"/>
      <w:lang w:val="sr-Latn-CS" w:eastAsia="sr-Latn-CS"/>
    </w:rPr>
  </w:style>
  <w:style w:type="paragraph" w:customStyle="1" w:styleId="para4">
    <w:name w:val="para4"/>
    <w:basedOn w:val="Normal"/>
    <w:rsid w:val="00D8738C"/>
    <w:pPr>
      <w:spacing w:before="0" w:after="268"/>
      <w:jc w:val="left"/>
    </w:pPr>
    <w:rPr>
      <w:rFonts w:ascii="Times New Roman" w:hAnsi="Times New Roman"/>
      <w:b/>
      <w:bCs/>
      <w:color w:val="333333"/>
      <w:sz w:val="24"/>
      <w:szCs w:val="24"/>
      <w:lang w:val="sr-Latn-CS" w:eastAsia="sr-Latn-CS"/>
    </w:rPr>
  </w:style>
  <w:style w:type="paragraph" w:customStyle="1" w:styleId="Picture1">
    <w:name w:val="Picture 1"/>
    <w:basedOn w:val="Normal"/>
    <w:autoRedefine/>
    <w:rsid w:val="00D8738C"/>
    <w:pPr>
      <w:spacing w:after="120"/>
      <w:jc w:val="center"/>
    </w:pPr>
    <w:rPr>
      <w:rFonts w:cs="Arial"/>
      <w:lang w:val="en-US"/>
    </w:rPr>
  </w:style>
  <w:style w:type="character" w:customStyle="1" w:styleId="emphb">
    <w:name w:val="emph_b"/>
    <w:basedOn w:val="DefaultParagraphFont"/>
    <w:rsid w:val="00D8738C"/>
  </w:style>
  <w:style w:type="character" w:customStyle="1" w:styleId="lk">
    <w:name w:val="lk"/>
    <w:basedOn w:val="DefaultParagraphFont"/>
    <w:rsid w:val="00D8738C"/>
  </w:style>
  <w:style w:type="character" w:customStyle="1" w:styleId="emphi">
    <w:name w:val="emph_i"/>
    <w:basedOn w:val="DefaultParagraphFont"/>
    <w:rsid w:val="00D8738C"/>
  </w:style>
  <w:style w:type="character" w:customStyle="1" w:styleId="printheaderlabel1">
    <w:name w:val="printheader_label1"/>
    <w:basedOn w:val="DefaultParagraphFont"/>
    <w:rsid w:val="00D8738C"/>
    <w:rPr>
      <w:i w:val="0"/>
      <w:iCs w:val="0"/>
      <w:color w:val="00504C"/>
    </w:rPr>
  </w:style>
  <w:style w:type="character" w:customStyle="1" w:styleId="lk1">
    <w:name w:val="lk1"/>
    <w:basedOn w:val="DefaultParagraphFont"/>
    <w:rsid w:val="00D8738C"/>
    <w:rPr>
      <w:i w:val="0"/>
      <w:iCs w:val="0"/>
    </w:rPr>
  </w:style>
  <w:style w:type="character" w:customStyle="1" w:styleId="emphb1">
    <w:name w:val="emph_b1"/>
    <w:basedOn w:val="DefaultParagraphFont"/>
    <w:rsid w:val="00D8738C"/>
    <w:rPr>
      <w:b/>
      <w:bCs/>
    </w:rPr>
  </w:style>
  <w:style w:type="character" w:customStyle="1" w:styleId="emphi1">
    <w:name w:val="emph_i1"/>
    <w:basedOn w:val="DefaultParagraphFont"/>
    <w:rsid w:val="00D8738C"/>
    <w:rPr>
      <w:i/>
      <w:iCs/>
    </w:rPr>
  </w:style>
  <w:style w:type="character" w:styleId="FollowedHyperlink">
    <w:name w:val="FollowedHyperlink"/>
    <w:basedOn w:val="DefaultParagraphFont"/>
    <w:rsid w:val="00D8738C"/>
    <w:rPr>
      <w:color w:val="0768A9"/>
      <w:u w:val="single"/>
    </w:rPr>
  </w:style>
  <w:style w:type="paragraph" w:customStyle="1" w:styleId="standard-button">
    <w:name w:val="standard-button"/>
    <w:basedOn w:val="Normal"/>
    <w:rsid w:val="00D8738C"/>
    <w:pPr>
      <w:pBdr>
        <w:top w:val="single" w:sz="4" w:space="1" w:color="EEEEEE"/>
        <w:left w:val="single" w:sz="4" w:space="5" w:color="EEEEEE"/>
        <w:bottom w:val="single" w:sz="4" w:space="1" w:color="666666"/>
        <w:right w:val="single" w:sz="4" w:space="5" w:color="666666"/>
      </w:pBdr>
      <w:shd w:val="clear" w:color="auto" w:fill="FFFFFF"/>
      <w:spacing w:before="100" w:beforeAutospacing="1" w:after="100" w:afterAutospacing="1"/>
      <w:jc w:val="left"/>
    </w:pPr>
    <w:rPr>
      <w:rFonts w:ascii="Trebuchet MS" w:hAnsi="Trebuchet MS"/>
      <w:color w:val="0A0905"/>
      <w:lang w:val="sr-Latn-CS" w:eastAsia="sr-Latn-CS"/>
    </w:rPr>
  </w:style>
  <w:style w:type="paragraph" w:customStyle="1" w:styleId="standard-buttondisabled">
    <w:name w:val="standard-button[disabled]"/>
    <w:basedOn w:val="Normal"/>
    <w:rsid w:val="00D8738C"/>
    <w:pPr>
      <w:spacing w:before="100" w:beforeAutospacing="1" w:after="100" w:afterAutospacing="1"/>
      <w:jc w:val="left"/>
    </w:pPr>
    <w:rPr>
      <w:rFonts w:ascii="Times New Roman" w:hAnsi="Times New Roman"/>
      <w:color w:val="B9B9B9"/>
      <w:sz w:val="24"/>
      <w:szCs w:val="24"/>
      <w:lang w:val="sr-Latn-CS" w:eastAsia="sr-Latn-CS"/>
    </w:rPr>
  </w:style>
  <w:style w:type="paragraph" w:customStyle="1" w:styleId="ftup">
    <w:name w:val="ftup"/>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qa">
    <w:name w:val="qa"/>
    <w:basedOn w:val="Normal"/>
    <w:rsid w:val="00D8738C"/>
    <w:pPr>
      <w:spacing w:before="100" w:beforeAutospacing="1" w:after="240"/>
      <w:jc w:val="left"/>
    </w:pPr>
    <w:rPr>
      <w:rFonts w:ascii="Times New Roman" w:hAnsi="Times New Roman"/>
      <w:color w:val="auto"/>
      <w:sz w:val="24"/>
      <w:szCs w:val="24"/>
      <w:lang w:val="sr-Latn-CS" w:eastAsia="sr-Latn-CS"/>
    </w:rPr>
  </w:style>
  <w:style w:type="paragraph" w:customStyle="1" w:styleId="update">
    <w:name w:val="update"/>
    <w:basedOn w:val="Normal"/>
    <w:rsid w:val="00D8738C"/>
    <w:pPr>
      <w:spacing w:before="100" w:beforeAutospacing="1" w:after="100" w:afterAutospacing="1"/>
      <w:jc w:val="left"/>
    </w:pPr>
    <w:rPr>
      <w:rFonts w:ascii="Times New Roman" w:hAnsi="Times New Roman"/>
      <w:color w:val="422906"/>
      <w:spacing w:val="19"/>
      <w:lang w:val="sr-Latn-CS" w:eastAsia="sr-Latn-CS"/>
    </w:rPr>
  </w:style>
  <w:style w:type="paragraph" w:customStyle="1" w:styleId="updated">
    <w:name w:val="updated"/>
    <w:basedOn w:val="Normal"/>
    <w:rsid w:val="00D8738C"/>
    <w:pPr>
      <w:pBdr>
        <w:top w:val="single" w:sz="4" w:space="0" w:color="B9B9B9"/>
        <w:left w:val="single" w:sz="24" w:space="6" w:color="B9B9B9"/>
        <w:bottom w:val="single" w:sz="4" w:space="0" w:color="B9B9B9"/>
        <w:right w:val="single" w:sz="4" w:space="3" w:color="B9B9B9"/>
      </w:pBdr>
      <w:shd w:val="clear" w:color="auto" w:fill="FFFFFF"/>
      <w:spacing w:before="100" w:beforeAutospacing="1" w:after="100" w:afterAutospacing="1"/>
      <w:jc w:val="left"/>
    </w:pPr>
    <w:rPr>
      <w:rFonts w:ascii="Times New Roman" w:hAnsi="Times New Roman"/>
      <w:color w:val="auto"/>
      <w:sz w:val="24"/>
      <w:szCs w:val="24"/>
      <w:lang w:val="sr-Latn-CS" w:eastAsia="sr-Latn-CS"/>
    </w:rPr>
  </w:style>
  <w:style w:type="paragraph" w:customStyle="1" w:styleId="p">
    <w:name w:val="p"/>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g">
    <w:name w:val="tg"/>
    <w:basedOn w:val="Normal"/>
    <w:rsid w:val="00D8738C"/>
    <w:pPr>
      <w:spacing w:before="100" w:beforeAutospacing="1" w:after="125"/>
      <w:jc w:val="left"/>
    </w:pPr>
    <w:rPr>
      <w:rFonts w:ascii="Times New Roman" w:hAnsi="Times New Roman"/>
      <w:color w:val="auto"/>
      <w:sz w:val="24"/>
      <w:szCs w:val="24"/>
      <w:lang w:val="sr-Latn-CS" w:eastAsia="sr-Latn-CS"/>
    </w:rPr>
  </w:style>
  <w:style w:type="paragraph" w:customStyle="1" w:styleId="ti">
    <w:name w:val="ti"/>
    <w:basedOn w:val="Normal"/>
    <w:rsid w:val="00D8738C"/>
    <w:pPr>
      <w:spacing w:before="100" w:beforeAutospacing="1" w:after="100" w:afterAutospacing="1"/>
      <w:jc w:val="center"/>
    </w:pPr>
    <w:rPr>
      <w:rFonts w:ascii="Times New Roman" w:hAnsi="Times New Roman"/>
      <w:b/>
      <w:bCs/>
      <w:color w:val="auto"/>
      <w:sz w:val="36"/>
      <w:szCs w:val="36"/>
      <w:lang w:val="sr-Latn-CS" w:eastAsia="sr-Latn-CS"/>
    </w:rPr>
  </w:style>
  <w:style w:type="paragraph" w:customStyle="1" w:styleId="listtitle">
    <w:name w:val="list_title"/>
    <w:basedOn w:val="Normal"/>
    <w:rsid w:val="00D8738C"/>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edtn">
    <w:name w:val="edtn"/>
    <w:basedOn w:val="Normal"/>
    <w:rsid w:val="00D8738C"/>
    <w:pPr>
      <w:spacing w:before="75" w:after="100" w:afterAutospacing="1"/>
      <w:jc w:val="left"/>
    </w:pPr>
    <w:rPr>
      <w:rFonts w:ascii="Times New Roman" w:hAnsi="Times New Roman"/>
      <w:color w:val="auto"/>
      <w:sz w:val="32"/>
      <w:szCs w:val="32"/>
      <w:lang w:val="sr-Latn-CS" w:eastAsia="sr-Latn-CS"/>
    </w:rPr>
  </w:style>
  <w:style w:type="paragraph" w:customStyle="1" w:styleId="pn">
    <w:name w:val="pn"/>
    <w:basedOn w:val="Normal"/>
    <w:rsid w:val="00D8738C"/>
    <w:pPr>
      <w:spacing w:before="63"/>
      <w:jc w:val="left"/>
    </w:pPr>
    <w:rPr>
      <w:rFonts w:ascii="Times New Roman" w:hAnsi="Times New Roman"/>
      <w:b/>
      <w:bCs/>
      <w:color w:val="auto"/>
      <w:sz w:val="24"/>
      <w:szCs w:val="24"/>
      <w:lang w:val="sr-Latn-CS" w:eastAsia="sr-Latn-CS"/>
    </w:rPr>
  </w:style>
  <w:style w:type="paragraph" w:customStyle="1" w:styleId="gp">
    <w:name w:val="gp"/>
    <w:basedOn w:val="Normal"/>
    <w:rsid w:val="00D8738C"/>
    <w:pPr>
      <w:spacing w:before="63"/>
      <w:jc w:val="left"/>
    </w:pPr>
    <w:rPr>
      <w:rFonts w:ascii="Times New Roman" w:hAnsi="Times New Roman"/>
      <w:b/>
      <w:bCs/>
      <w:color w:val="auto"/>
      <w:sz w:val="24"/>
      <w:szCs w:val="24"/>
      <w:lang w:val="sr-Latn-CS" w:eastAsia="sr-Latn-CS"/>
    </w:rPr>
  </w:style>
  <w:style w:type="paragraph" w:customStyle="1" w:styleId="sg">
    <w:name w:val="sg"/>
    <w:basedOn w:val="Normal"/>
    <w:rsid w:val="00D8738C"/>
    <w:pPr>
      <w:spacing w:before="0" w:after="480"/>
      <w:jc w:val="right"/>
    </w:pPr>
    <w:rPr>
      <w:rFonts w:ascii="Times New Roman" w:hAnsi="Times New Roman"/>
      <w:color w:val="auto"/>
      <w:sz w:val="24"/>
      <w:szCs w:val="24"/>
      <w:lang w:val="sr-Latn-CS" w:eastAsia="sr-Latn-CS"/>
    </w:rPr>
  </w:style>
  <w:style w:type="paragraph" w:customStyle="1" w:styleId="role">
    <w:name w:val="role"/>
    <w:basedOn w:val="Normal"/>
    <w:rsid w:val="00D8738C"/>
    <w:pPr>
      <w:spacing w:before="0"/>
      <w:jc w:val="left"/>
    </w:pPr>
    <w:rPr>
      <w:rFonts w:ascii="Times New Roman" w:hAnsi="Times New Roman"/>
      <w:color w:val="auto"/>
      <w:sz w:val="24"/>
      <w:szCs w:val="24"/>
      <w:lang w:val="sr-Latn-CS" w:eastAsia="sr-Latn-CS"/>
    </w:rPr>
  </w:style>
  <w:style w:type="paragraph" w:customStyle="1" w:styleId="edgrp">
    <w:name w:val="edgrp"/>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authgrp">
    <w:name w:val="authgrp"/>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lv1-nohd">
    <w:name w:val="tlv1-nohd"/>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abrsec">
    <w:name w:val="abrsec"/>
    <w:basedOn w:val="Normal"/>
    <w:rsid w:val="00D8738C"/>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ed">
    <w:name w:val="ed"/>
    <w:basedOn w:val="Normal"/>
    <w:rsid w:val="00D8738C"/>
    <w:pPr>
      <w:spacing w:before="100" w:beforeAutospacing="1" w:after="250"/>
      <w:jc w:val="left"/>
    </w:pPr>
    <w:rPr>
      <w:rFonts w:ascii="Times New Roman" w:hAnsi="Times New Roman"/>
      <w:color w:val="auto"/>
      <w:sz w:val="24"/>
      <w:szCs w:val="24"/>
      <w:lang w:val="sr-Latn-CS" w:eastAsia="sr-Latn-CS"/>
    </w:rPr>
  </w:style>
  <w:style w:type="paragraph" w:customStyle="1" w:styleId="frf">
    <w:name w:val="frf"/>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slink">
    <w:name w:val="slink"/>
    <w:basedOn w:val="Normal"/>
    <w:rsid w:val="00D8738C"/>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dispset">
    <w:name w:val="dispset"/>
    <w:basedOn w:val="Normal"/>
    <w:rsid w:val="00D8738C"/>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citedref">
    <w:name w:val="citedref"/>
    <w:basedOn w:val="Normal"/>
    <w:rsid w:val="00D8738C"/>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fg">
    <w:name w:val="fg"/>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b">
    <w:name w:val="tb"/>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xtab">
    <w:name w:val="xtab"/>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figure-col1">
    <w:name w:val="figure-col1"/>
    <w:basedOn w:val="Normal"/>
    <w:rsid w:val="00D8738C"/>
    <w:pPr>
      <w:shd w:val="clear" w:color="auto" w:fill="FFFFFF"/>
      <w:spacing w:before="100" w:beforeAutospacing="1" w:after="100" w:afterAutospacing="1"/>
      <w:jc w:val="left"/>
    </w:pPr>
    <w:rPr>
      <w:rFonts w:ascii="Times New Roman" w:hAnsi="Times New Roman"/>
      <w:color w:val="auto"/>
      <w:lang w:val="sr-Latn-CS" w:eastAsia="sr-Latn-CS"/>
    </w:rPr>
  </w:style>
  <w:style w:type="paragraph" w:customStyle="1" w:styleId="figure-col2">
    <w:name w:val="figure-col2"/>
    <w:basedOn w:val="Normal"/>
    <w:rsid w:val="00D8738C"/>
    <w:pPr>
      <w:shd w:val="clear" w:color="auto" w:fill="FFFFFF"/>
      <w:spacing w:before="100" w:beforeAutospacing="1" w:after="100" w:afterAutospacing="1"/>
      <w:jc w:val="left"/>
    </w:pPr>
    <w:rPr>
      <w:rFonts w:ascii="Times New Roman" w:hAnsi="Times New Roman"/>
      <w:color w:val="auto"/>
      <w:sz w:val="24"/>
      <w:szCs w:val="24"/>
      <w:lang w:val="sr-Latn-CS" w:eastAsia="sr-Latn-CS"/>
    </w:rPr>
  </w:style>
  <w:style w:type="paragraph" w:customStyle="1" w:styleId="qt">
    <w:name w:val="qt"/>
    <w:basedOn w:val="Normal"/>
    <w:rsid w:val="00D8738C"/>
    <w:pPr>
      <w:spacing w:before="240" w:after="240"/>
      <w:ind w:left="1200" w:right="1200"/>
      <w:jc w:val="left"/>
    </w:pPr>
    <w:rPr>
      <w:rFonts w:ascii="Times New Roman" w:hAnsi="Times New Roman"/>
      <w:color w:val="auto"/>
      <w:sz w:val="24"/>
      <w:szCs w:val="24"/>
      <w:lang w:val="sr-Latn-CS" w:eastAsia="sr-Latn-CS"/>
    </w:rPr>
  </w:style>
  <w:style w:type="paragraph" w:customStyle="1" w:styleId="stn">
    <w:name w:val="stn"/>
    <w:basedOn w:val="Normal"/>
    <w:rsid w:val="00D8738C"/>
    <w:pPr>
      <w:spacing w:before="240" w:after="240"/>
      <w:ind w:left="720"/>
      <w:jc w:val="left"/>
    </w:pPr>
    <w:rPr>
      <w:rFonts w:ascii="Times New Roman" w:hAnsi="Times New Roman"/>
      <w:color w:val="auto"/>
      <w:sz w:val="24"/>
      <w:szCs w:val="24"/>
      <w:lang w:val="sr-Latn-CS" w:eastAsia="sr-Latn-CS"/>
    </w:rPr>
  </w:style>
  <w:style w:type="paragraph" w:customStyle="1" w:styleId="stl">
    <w:name w:val="stl"/>
    <w:basedOn w:val="Normal"/>
    <w:rsid w:val="00D8738C"/>
    <w:pPr>
      <w:spacing w:before="100" w:beforeAutospacing="1" w:after="120"/>
      <w:jc w:val="left"/>
    </w:pPr>
    <w:rPr>
      <w:rFonts w:ascii="Times New Roman" w:hAnsi="Times New Roman"/>
      <w:color w:val="auto"/>
      <w:sz w:val="28"/>
      <w:szCs w:val="28"/>
      <w:lang w:val="sr-Latn-CS" w:eastAsia="sr-Latn-CS"/>
    </w:rPr>
  </w:style>
  <w:style w:type="paragraph" w:customStyle="1" w:styleId="strf">
    <w:name w:val="strf"/>
    <w:basedOn w:val="Normal"/>
    <w:rsid w:val="00D8738C"/>
    <w:pPr>
      <w:spacing w:before="240" w:after="100" w:afterAutospacing="1"/>
      <w:jc w:val="right"/>
    </w:pPr>
    <w:rPr>
      <w:rFonts w:ascii="Times New Roman" w:hAnsi="Times New Roman"/>
      <w:color w:val="auto"/>
      <w:sz w:val="24"/>
      <w:szCs w:val="24"/>
      <w:lang w:val="sr-Latn-CS" w:eastAsia="sr-Latn-CS"/>
    </w:rPr>
  </w:style>
  <w:style w:type="paragraph" w:customStyle="1" w:styleId="emphbit">
    <w:name w:val="emph_bit"/>
    <w:basedOn w:val="Normal"/>
    <w:rsid w:val="00D8738C"/>
    <w:pPr>
      <w:spacing w:before="100" w:beforeAutospacing="1" w:after="100" w:afterAutospacing="1"/>
      <w:jc w:val="left"/>
    </w:pPr>
    <w:rPr>
      <w:rFonts w:ascii="Times New Roman" w:hAnsi="Times New Roman"/>
      <w:b/>
      <w:bCs/>
      <w:i/>
      <w:iCs/>
      <w:color w:val="auto"/>
      <w:sz w:val="24"/>
      <w:szCs w:val="24"/>
      <w:lang w:val="sr-Latn-CS" w:eastAsia="sr-Latn-CS"/>
    </w:rPr>
  </w:style>
  <w:style w:type="paragraph" w:customStyle="1" w:styleId="emphul">
    <w:name w:val="emph_ul"/>
    <w:basedOn w:val="Normal"/>
    <w:rsid w:val="00D8738C"/>
    <w:pPr>
      <w:spacing w:before="100" w:beforeAutospacing="1" w:after="100" w:afterAutospacing="1"/>
      <w:jc w:val="left"/>
    </w:pPr>
    <w:rPr>
      <w:rFonts w:ascii="Times New Roman" w:hAnsi="Times New Roman"/>
      <w:color w:val="auto"/>
      <w:sz w:val="24"/>
      <w:szCs w:val="24"/>
      <w:u w:val="single"/>
      <w:lang w:val="sr-Latn-CS" w:eastAsia="sr-Latn-CS"/>
    </w:rPr>
  </w:style>
  <w:style w:type="paragraph" w:customStyle="1" w:styleId="emphdul">
    <w:name w:val="emph_dul"/>
    <w:basedOn w:val="Normal"/>
    <w:rsid w:val="00D8738C"/>
    <w:pPr>
      <w:pBdr>
        <w:bottom w:val="double" w:sz="4" w:space="0" w:color="000000"/>
      </w:pBd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mphbul">
    <w:name w:val="emph_bul"/>
    <w:basedOn w:val="Normal"/>
    <w:rsid w:val="00D8738C"/>
    <w:pPr>
      <w:spacing w:before="100" w:beforeAutospacing="1" w:after="100" w:afterAutospacing="1"/>
      <w:jc w:val="left"/>
    </w:pPr>
    <w:rPr>
      <w:rFonts w:ascii="Times New Roman" w:hAnsi="Times New Roman"/>
      <w:b/>
      <w:bCs/>
      <w:color w:val="auto"/>
      <w:sz w:val="24"/>
      <w:szCs w:val="24"/>
      <w:u w:val="single"/>
      <w:lang w:val="sr-Latn-CS" w:eastAsia="sr-Latn-CS"/>
    </w:rPr>
  </w:style>
  <w:style w:type="paragraph" w:customStyle="1" w:styleId="emphupdate">
    <w:name w:val="emph_update"/>
    <w:basedOn w:val="Normal"/>
    <w:rsid w:val="00D8738C"/>
    <w:pPr>
      <w:shd w:val="clear" w:color="auto" w:fill="EDE8DD"/>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a">
    <w:name w:val="listtype_a"/>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b">
    <w:name w:val="listtype_b"/>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d">
    <w:name w:val="listtype_d"/>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n">
    <w:name w:val="listtype_n"/>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l">
    <w:name w:val="listtype_l"/>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uc">
    <w:name w:val="listtype_uc"/>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lcr">
    <w:name w:val="listtype_lcr"/>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r">
    <w:name w:val="listtype_r"/>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ss">
    <w:name w:val="listtype_ss"/>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cp">
    <w:name w:val="tcp"/>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astip">
    <w:name w:val="hastip"/>
    <w:basedOn w:val="Normal"/>
    <w:rsid w:val="00D8738C"/>
    <w:pPr>
      <w:pBdr>
        <w:bottom w:val="double" w:sz="4" w:space="0" w:color="6EBB1F"/>
      </w:pBdr>
      <w:spacing w:before="100" w:beforeAutospacing="1" w:after="100" w:afterAutospacing="1"/>
      <w:jc w:val="left"/>
    </w:pPr>
    <w:rPr>
      <w:rFonts w:ascii="Times New Roman" w:hAnsi="Times New Roman"/>
      <w:color w:val="449944"/>
      <w:sz w:val="24"/>
      <w:szCs w:val="24"/>
      <w:lang w:val="sr-Latn-CS" w:eastAsia="sr-Latn-CS"/>
    </w:rPr>
  </w:style>
  <w:style w:type="paragraph" w:customStyle="1" w:styleId="hasdef">
    <w:name w:val="hasdef"/>
    <w:basedOn w:val="Normal"/>
    <w:rsid w:val="00D8738C"/>
    <w:pPr>
      <w:pBdr>
        <w:bottom w:val="double" w:sz="4" w:space="0" w:color="0768A9"/>
      </w:pBdr>
      <w:spacing w:before="100" w:beforeAutospacing="1" w:after="100" w:afterAutospacing="1"/>
      <w:jc w:val="left"/>
    </w:pPr>
    <w:rPr>
      <w:rFonts w:ascii="Times New Roman" w:hAnsi="Times New Roman"/>
      <w:color w:val="444499"/>
      <w:sz w:val="24"/>
      <w:szCs w:val="24"/>
      <w:lang w:val="sr-Latn-CS" w:eastAsia="sr-Latn-CS"/>
    </w:rPr>
  </w:style>
  <w:style w:type="paragraph" w:customStyle="1" w:styleId="postit">
    <w:name w:val="postit"/>
    <w:basedOn w:val="Normal"/>
    <w:rsid w:val="00D8738C"/>
    <w:pPr>
      <w:spacing w:before="100" w:beforeAutospacing="1" w:after="100" w:afterAutospacing="1"/>
      <w:jc w:val="left"/>
    </w:pPr>
    <w:rPr>
      <w:rFonts w:ascii="Times New Roman" w:hAnsi="Times New Roman"/>
      <w:color w:val="auto"/>
      <w:sz w:val="19"/>
      <w:szCs w:val="19"/>
      <w:lang w:val="sr-Latn-CS" w:eastAsia="sr-Latn-CS"/>
    </w:rPr>
  </w:style>
  <w:style w:type="paragraph" w:customStyle="1" w:styleId="postitheader">
    <w:name w:val="postit_header"/>
    <w:basedOn w:val="Normal"/>
    <w:rsid w:val="00D8738C"/>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postitbody">
    <w:name w:val="postit_body"/>
    <w:basedOn w:val="Normal"/>
    <w:rsid w:val="00D8738C"/>
    <w:pPr>
      <w:shd w:val="clear" w:color="auto" w:fill="F5F50B"/>
      <w:spacing w:before="100" w:beforeAutospacing="1" w:after="100" w:afterAutospacing="1"/>
      <w:jc w:val="left"/>
    </w:pPr>
    <w:rPr>
      <w:rFonts w:ascii="Times New Roman" w:hAnsi="Times New Roman"/>
      <w:color w:val="auto"/>
      <w:sz w:val="24"/>
      <w:szCs w:val="24"/>
      <w:lang w:val="sr-Latn-CS" w:eastAsia="sr-Latn-CS"/>
    </w:rPr>
  </w:style>
  <w:style w:type="paragraph" w:customStyle="1" w:styleId="postitcontent">
    <w:name w:val="postit_content"/>
    <w:basedOn w:val="Normal"/>
    <w:rsid w:val="00D8738C"/>
    <w:pPr>
      <w:pBdr>
        <w:top w:val="single" w:sz="4" w:space="5" w:color="B9B9B9"/>
        <w:left w:val="single" w:sz="4" w:space="5" w:color="B9B9B9"/>
        <w:bottom w:val="single" w:sz="4" w:space="5" w:color="B9B9B9"/>
        <w:right w:val="single" w:sz="4" w:space="5" w:color="B9B9B9"/>
      </w:pBdr>
      <w:shd w:val="clear" w:color="auto" w:fill="F5F50B"/>
      <w:spacing w:before="100" w:beforeAutospacing="1" w:after="100" w:afterAutospacing="1"/>
      <w:jc w:val="left"/>
    </w:pPr>
    <w:rPr>
      <w:rFonts w:ascii="Times New Roman" w:hAnsi="Times New Roman"/>
      <w:color w:val="auto"/>
      <w:sz w:val="24"/>
      <w:szCs w:val="24"/>
      <w:lang w:val="sr-Latn-CS" w:eastAsia="sr-Latn-CS"/>
    </w:rPr>
  </w:style>
  <w:style w:type="paragraph" w:customStyle="1" w:styleId="tbfmenu">
    <w:name w:val="tbf_menu"/>
    <w:basedOn w:val="Normal"/>
    <w:rsid w:val="00D8738C"/>
    <w:pPr>
      <w:pBdr>
        <w:bottom w:val="single" w:sz="4" w:space="0" w:color="B9B9B9"/>
      </w:pBd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pagenum">
    <w:name w:val="pagenum"/>
    <w:basedOn w:val="Normal"/>
    <w:rsid w:val="00D8738C"/>
    <w:pPr>
      <w:pBdr>
        <w:top w:val="dotted" w:sz="4" w:space="0" w:color="B9B9B9"/>
      </w:pBdr>
      <w:spacing w:before="100" w:beforeAutospacing="1" w:after="100" w:afterAutospacing="1"/>
      <w:ind w:right="-689"/>
      <w:jc w:val="left"/>
    </w:pPr>
    <w:rPr>
      <w:rFonts w:ascii="Times New Roman" w:hAnsi="Times New Roman"/>
      <w:color w:val="auto"/>
      <w:sz w:val="24"/>
      <w:szCs w:val="24"/>
      <w:lang w:val="sr-Latn-CS" w:eastAsia="sr-Latn-CS"/>
    </w:rPr>
  </w:style>
  <w:style w:type="paragraph" w:customStyle="1" w:styleId="sidebar">
    <w:name w:val="sidebar"/>
    <w:basedOn w:val="Normal"/>
    <w:rsid w:val="00D8738C"/>
    <w:pPr>
      <w:spacing w:before="0" w:after="125"/>
      <w:jc w:val="left"/>
    </w:pPr>
    <w:rPr>
      <w:rFonts w:ascii="Times New Roman" w:hAnsi="Times New Roman"/>
      <w:color w:val="auto"/>
      <w:sz w:val="24"/>
      <w:szCs w:val="24"/>
      <w:lang w:val="sr-Latn-CS" w:eastAsia="sr-Latn-CS"/>
    </w:rPr>
  </w:style>
  <w:style w:type="paragraph" w:customStyle="1" w:styleId="rec">
    <w:name w:val="rec"/>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actions">
    <w:name w:val="actions"/>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use">
    <w:name w:val="use"/>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ethics">
    <w:name w:val="ethics"/>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legal">
    <w:name w:val="legal"/>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equipment">
    <w:name w:val="equipment"/>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geriatric">
    <w:name w:val="geriatric"/>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indications">
    <w:name w:val="indications"/>
    <w:basedOn w:val="Normal"/>
    <w:rsid w:val="00D8738C"/>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interventions">
    <w:name w:val="interventions"/>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maternal">
    <w:name w:val="maternal"/>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nursing">
    <w:name w:val="nursing"/>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nurdoc">
    <w:name w:val="nurdoc"/>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athophys">
    <w:name w:val="pathophys"/>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rocedure">
    <w:name w:val="procedure"/>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education">
    <w:name w:val="education"/>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ediatric">
    <w:name w:val="pediatric"/>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revention">
    <w:name w:val="prevention"/>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trouble">
    <w:name w:val="trouble"/>
    <w:basedOn w:val="Normal"/>
    <w:rsid w:val="00D8738C"/>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drugs">
    <w:name w:val="drugs"/>
    <w:basedOn w:val="Normal"/>
    <w:rsid w:val="00D8738C"/>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assoc">
    <w:name w:val="assoc"/>
    <w:basedOn w:val="Normal"/>
    <w:rsid w:val="00D8738C"/>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bio">
    <w:name w:val="bio"/>
    <w:basedOn w:val="Normal"/>
    <w:rsid w:val="00D8738C"/>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career">
    <w:name w:val="career"/>
    <w:basedOn w:val="Normal"/>
    <w:rsid w:val="00D8738C"/>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culture">
    <w:name w:val="culture"/>
    <w:basedOn w:val="Normal"/>
    <w:rsid w:val="00D8738C"/>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interact">
    <w:name w:val="interact"/>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collaboration">
    <w:name w:val="collaboration"/>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gender">
    <w:name w:val="gender"/>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emergency">
    <w:name w:val="emergency"/>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geronalrt">
    <w:name w:val="geronalrt"/>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implementation">
    <w:name w:val="implementation"/>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outcomes">
    <w:name w:val="outcomes"/>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pediatalrt">
    <w:name w:val="pediatalrt"/>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pregalrt">
    <w:name w:val="pregalrt"/>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specconsalrt">
    <w:name w:val="specconsalrt"/>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alert">
    <w:name w:val="alert"/>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complications">
    <w:name w:val="complications"/>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treatment">
    <w:name w:val="treatment"/>
    <w:basedOn w:val="Normal"/>
    <w:rsid w:val="00D8738C"/>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monitor">
    <w:name w:val="monitor"/>
    <w:basedOn w:val="Normal"/>
    <w:rsid w:val="00D8738C"/>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standards">
    <w:name w:val="standards"/>
    <w:basedOn w:val="Normal"/>
    <w:rsid w:val="00D8738C"/>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symptom">
    <w:name w:val="symptom"/>
    <w:basedOn w:val="Normal"/>
    <w:rsid w:val="00D8738C"/>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advprac">
    <w:name w:val="advprac"/>
    <w:basedOn w:val="Normal"/>
    <w:rsid w:val="00D8738C"/>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approach">
    <w:name w:val="approach"/>
    <w:basedOn w:val="Normal"/>
    <w:rsid w:val="00D8738C"/>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case">
    <w:name w:val="case"/>
    <w:basedOn w:val="Normal"/>
    <w:rsid w:val="00D8738C"/>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genetic">
    <w:name w:val="genetic"/>
    <w:basedOn w:val="Normal"/>
    <w:rsid w:val="00D8738C"/>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implications">
    <w:name w:val="implications"/>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onclusions">
    <w:name w:val="conclusions"/>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aware">
    <w:name w:val="aware"/>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def">
    <w:name w:val="def"/>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quick">
    <w:name w:val="quick"/>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abbr">
    <w:name w:val="abbr"/>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heck">
    <w:name w:val="check"/>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utedge">
    <w:name w:val="cutedge"/>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diagnosis">
    <w:name w:val="diagnosis"/>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ritthink">
    <w:name w:val="critthink"/>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future">
    <w:name w:val="future"/>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issues">
    <w:name w:val="issues"/>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key">
    <w:name w:val="key"/>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misc">
    <w:name w:val="misc"/>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notes">
    <w:name w:val="notes"/>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questions">
    <w:name w:val="questions"/>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readings">
    <w:name w:val="readings"/>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tips">
    <w:name w:val="tips"/>
    <w:basedOn w:val="Normal"/>
    <w:rsid w:val="00D8738C"/>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idxpg">
    <w:name w:val="idxpg"/>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math">
    <w:name w:val="math"/>
    <w:basedOn w:val="Normal"/>
    <w:rsid w:val="00D8738C"/>
    <w:pPr>
      <w:spacing w:before="100" w:beforeAutospacing="1" w:after="100" w:afterAutospacing="1"/>
      <w:jc w:val="center"/>
    </w:pPr>
    <w:rPr>
      <w:rFonts w:ascii="Times New Roman" w:hAnsi="Times New Roman"/>
      <w:color w:val="auto"/>
      <w:sz w:val="24"/>
      <w:szCs w:val="24"/>
      <w:lang w:val="sr-Latn-CS" w:eastAsia="sr-Latn-CS"/>
    </w:rPr>
  </w:style>
  <w:style w:type="paragraph" w:customStyle="1" w:styleId="gatewaycontenthighlight">
    <w:name w:val="gatewaycontenthighlight"/>
    <w:basedOn w:val="Normal"/>
    <w:rsid w:val="00D8738C"/>
    <w:pPr>
      <w:pBdr>
        <w:right w:val="single" w:sz="24" w:space="3" w:color="F5F50B"/>
      </w:pBdr>
      <w:shd w:val="clear" w:color="auto" w:fill="F5F50B"/>
      <w:spacing w:before="100" w:beforeAutospacing="1" w:after="100" w:afterAutospacing="1"/>
      <w:jc w:val="left"/>
    </w:pPr>
    <w:rPr>
      <w:rFonts w:ascii="Times New Roman" w:hAnsi="Times New Roman"/>
      <w:color w:val="auto"/>
      <w:sz w:val="24"/>
      <w:szCs w:val="24"/>
      <w:lang w:val="sr-Latn-CS" w:eastAsia="sr-Latn-CS"/>
    </w:rPr>
  </w:style>
  <w:style w:type="paragraph" w:customStyle="1" w:styleId="auxcontent">
    <w:name w:val="auxcontent"/>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erm-highlight-user">
    <w:name w:val="term-highlight-user"/>
    <w:basedOn w:val="Normal"/>
    <w:rsid w:val="00D8738C"/>
    <w:pPr>
      <w:shd w:val="clear" w:color="auto" w:fill="F5F50B"/>
      <w:spacing w:before="100" w:beforeAutospacing="1" w:after="100" w:afterAutospacing="1"/>
      <w:ind w:left="-25" w:right="-25"/>
      <w:jc w:val="left"/>
    </w:pPr>
    <w:rPr>
      <w:rFonts w:ascii="Times New Roman" w:hAnsi="Times New Roman"/>
      <w:b/>
      <w:bCs/>
      <w:color w:val="EE014C"/>
      <w:sz w:val="24"/>
      <w:szCs w:val="24"/>
      <w:lang w:val="sr-Latn-CS" w:eastAsia="sr-Latn-CS"/>
    </w:rPr>
  </w:style>
  <w:style w:type="paragraph" w:customStyle="1" w:styleId="term-highlight-natlang">
    <w:name w:val="term-highlight-natlang"/>
    <w:basedOn w:val="Normal"/>
    <w:rsid w:val="00D8738C"/>
    <w:pPr>
      <w:shd w:val="clear" w:color="auto" w:fill="F5F50B"/>
      <w:spacing w:before="100" w:beforeAutospacing="1" w:after="100" w:afterAutospacing="1"/>
      <w:ind w:left="-25" w:right="-25"/>
      <w:jc w:val="left"/>
    </w:pPr>
    <w:rPr>
      <w:rFonts w:ascii="Times New Roman" w:hAnsi="Times New Roman"/>
      <w:color w:val="auto"/>
      <w:sz w:val="24"/>
      <w:szCs w:val="24"/>
      <w:lang w:val="sr-Latn-CS" w:eastAsia="sr-Latn-CS"/>
    </w:rPr>
  </w:style>
  <w:style w:type="paragraph" w:customStyle="1" w:styleId="printablesection">
    <w:name w:val="printable_section"/>
    <w:basedOn w:val="Normal"/>
    <w:rsid w:val="00D8738C"/>
    <w:pPr>
      <w:pBdr>
        <w:top w:val="dotted" w:sz="4" w:space="0" w:color="422906"/>
        <w:left w:val="dotted" w:sz="4" w:space="0" w:color="422906"/>
        <w:bottom w:val="dotted" w:sz="4" w:space="0" w:color="422906"/>
        <w:right w:val="dotted" w:sz="4" w:space="0" w:color="422906"/>
      </w:pBdr>
      <w:shd w:val="clear" w:color="auto" w:fill="FFD100"/>
      <w:spacing w:before="100" w:beforeAutospacing="1" w:after="100" w:afterAutospacing="1"/>
      <w:jc w:val="left"/>
    </w:pPr>
    <w:rPr>
      <w:rFonts w:ascii="Times New Roman" w:hAnsi="Times New Roman"/>
      <w:color w:val="auto"/>
      <w:sz w:val="24"/>
      <w:szCs w:val="24"/>
      <w:lang w:val="sr-Latn-CS" w:eastAsia="sr-Latn-CS"/>
    </w:rPr>
  </w:style>
  <w:style w:type="paragraph" w:customStyle="1" w:styleId="printheaderlabel">
    <w:name w:val="printheader_label"/>
    <w:basedOn w:val="Normal"/>
    <w:rsid w:val="00D8738C"/>
    <w:pPr>
      <w:spacing w:before="100" w:beforeAutospacing="1" w:after="100" w:afterAutospacing="1"/>
      <w:ind w:right="120"/>
      <w:jc w:val="left"/>
    </w:pPr>
    <w:rPr>
      <w:rFonts w:ascii="Times New Roman" w:hAnsi="Times New Roman"/>
      <w:color w:val="00504C"/>
      <w:sz w:val="24"/>
      <w:szCs w:val="24"/>
      <w:lang w:val="sr-Latn-CS" w:eastAsia="sr-Latn-CS"/>
    </w:rPr>
  </w:style>
  <w:style w:type="paragraph" w:customStyle="1" w:styleId="printpreview-icon">
    <w:name w:val="printpreview-icon"/>
    <w:basedOn w:val="Normal"/>
    <w:rsid w:val="00D8738C"/>
    <w:pPr>
      <w:spacing w:before="100" w:beforeAutospacing="1" w:after="100" w:afterAutospacing="1"/>
      <w:jc w:val="left"/>
    </w:pPr>
    <w:rPr>
      <w:rFonts w:ascii="Times New Roman" w:hAnsi="Times New Roman"/>
      <w:vanish/>
      <w:color w:val="auto"/>
      <w:sz w:val="24"/>
      <w:szCs w:val="24"/>
      <w:lang w:val="sr-Latn-CS" w:eastAsia="sr-Latn-CS"/>
    </w:rPr>
  </w:style>
  <w:style w:type="paragraph" w:customStyle="1" w:styleId="term">
    <w:name w:val="term"/>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rf">
    <w:name w:val="rf"/>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num">
    <w:name w:val="hnum"/>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frtitle">
    <w:name w:val="frtitle"/>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2">
    <w:name w:val="entry2"/>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3">
    <w:name w:val="entry3"/>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4">
    <w:name w:val="entry4"/>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5">
    <w:name w:val="entry5"/>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6">
    <w:name w:val="entry6"/>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da">
    <w:name w:val="da"/>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bn">
    <w:name w:val="isbn"/>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n">
    <w:name w:val="isn"/>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c">
    <w:name w:val="lc"/>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lv1">
    <w:name w:val="tlv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1">
    <w:name w:val="p1"/>
    <w:basedOn w:val="Normal"/>
    <w:rsid w:val="00D8738C"/>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p2">
    <w:name w:val="p2"/>
    <w:basedOn w:val="Normal"/>
    <w:rsid w:val="00D8738C"/>
    <w:pPr>
      <w:spacing w:before="100" w:beforeAutospacing="1" w:after="100" w:afterAutospacing="1"/>
      <w:ind w:left="720"/>
      <w:jc w:val="left"/>
    </w:pPr>
    <w:rPr>
      <w:rFonts w:ascii="Times New Roman" w:hAnsi="Times New Roman"/>
      <w:color w:val="auto"/>
      <w:sz w:val="24"/>
      <w:szCs w:val="24"/>
      <w:lang w:val="sr-Latn-CS" w:eastAsia="sr-Latn-CS"/>
    </w:rPr>
  </w:style>
  <w:style w:type="paragraph" w:customStyle="1" w:styleId="ti1">
    <w:name w:val="ti1"/>
    <w:basedOn w:val="Normal"/>
    <w:rsid w:val="00D8738C"/>
    <w:pPr>
      <w:spacing w:before="100" w:beforeAutospacing="1" w:after="100" w:afterAutospacing="1"/>
      <w:jc w:val="center"/>
    </w:pPr>
    <w:rPr>
      <w:rFonts w:ascii="Times New Roman" w:hAnsi="Times New Roman"/>
      <w:b/>
      <w:bCs/>
      <w:color w:val="auto"/>
      <w:sz w:val="36"/>
      <w:szCs w:val="36"/>
      <w:lang w:val="sr-Latn-CS" w:eastAsia="sr-Latn-CS"/>
    </w:rPr>
  </w:style>
  <w:style w:type="paragraph" w:customStyle="1" w:styleId="pn1">
    <w:name w:val="pn1"/>
    <w:basedOn w:val="Normal"/>
    <w:rsid w:val="00D8738C"/>
    <w:pPr>
      <w:spacing w:before="63"/>
      <w:jc w:val="left"/>
    </w:pPr>
    <w:rPr>
      <w:rFonts w:ascii="Times New Roman" w:hAnsi="Times New Roman"/>
      <w:color w:val="auto"/>
      <w:sz w:val="24"/>
      <w:szCs w:val="24"/>
      <w:lang w:val="sr-Latn-CS" w:eastAsia="sr-Latn-CS"/>
    </w:rPr>
  </w:style>
  <w:style w:type="paragraph" w:customStyle="1" w:styleId="gp1">
    <w:name w:val="gp1"/>
    <w:basedOn w:val="Normal"/>
    <w:rsid w:val="00D8738C"/>
    <w:pPr>
      <w:spacing w:before="63"/>
      <w:jc w:val="left"/>
    </w:pPr>
    <w:rPr>
      <w:rFonts w:ascii="Times New Roman" w:hAnsi="Times New Roman"/>
      <w:color w:val="auto"/>
      <w:sz w:val="24"/>
      <w:szCs w:val="24"/>
      <w:lang w:val="sr-Latn-CS" w:eastAsia="sr-Latn-CS"/>
    </w:rPr>
  </w:style>
  <w:style w:type="paragraph" w:customStyle="1" w:styleId="p3">
    <w:name w:val="p3"/>
    <w:basedOn w:val="Normal"/>
    <w:rsid w:val="00D8738C"/>
    <w:pPr>
      <w:spacing w:before="100" w:beforeAutospacing="1" w:after="100" w:afterAutospacing="1"/>
      <w:jc w:val="left"/>
    </w:pPr>
    <w:rPr>
      <w:rFonts w:ascii="Times New Roman" w:hAnsi="Times New Roman"/>
      <w:i/>
      <w:iCs/>
      <w:color w:val="auto"/>
      <w:sz w:val="24"/>
      <w:szCs w:val="24"/>
      <w:lang w:val="sr-Latn-CS" w:eastAsia="sr-Latn-CS"/>
    </w:rPr>
  </w:style>
  <w:style w:type="paragraph" w:customStyle="1" w:styleId="p4">
    <w:name w:val="p4"/>
    <w:basedOn w:val="Normal"/>
    <w:rsid w:val="00D8738C"/>
    <w:pPr>
      <w:spacing w:before="100" w:beforeAutospacing="1" w:after="100" w:afterAutospacing="1"/>
      <w:jc w:val="left"/>
    </w:pPr>
    <w:rPr>
      <w:rFonts w:ascii="Times New Roman" w:hAnsi="Times New Roman"/>
      <w:i/>
      <w:iCs/>
      <w:color w:val="auto"/>
      <w:sz w:val="24"/>
      <w:szCs w:val="24"/>
      <w:lang w:val="sr-Latn-CS" w:eastAsia="sr-Latn-CS"/>
    </w:rPr>
  </w:style>
  <w:style w:type="paragraph" w:customStyle="1" w:styleId="hd1">
    <w:name w:val="hd1"/>
    <w:basedOn w:val="Normal"/>
    <w:rsid w:val="00D8738C"/>
    <w:pPr>
      <w:spacing w:before="100" w:beforeAutospacing="1" w:after="100" w:afterAutospacing="1"/>
      <w:jc w:val="left"/>
    </w:pPr>
    <w:rPr>
      <w:rFonts w:ascii="Times New Roman" w:hAnsi="Times New Roman"/>
      <w:i/>
      <w:iCs/>
      <w:color w:val="auto"/>
      <w:sz w:val="36"/>
      <w:szCs w:val="36"/>
      <w:lang w:val="sr-Latn-CS" w:eastAsia="sr-Latn-CS"/>
    </w:rPr>
  </w:style>
  <w:style w:type="paragraph" w:customStyle="1" w:styleId="hd2">
    <w:name w:val="hd2"/>
    <w:basedOn w:val="Normal"/>
    <w:rsid w:val="00D8738C"/>
    <w:pPr>
      <w:spacing w:before="100" w:beforeAutospacing="1" w:after="100" w:afterAutospacing="1"/>
      <w:jc w:val="left"/>
    </w:pPr>
    <w:rPr>
      <w:rFonts w:ascii="Times New Roman" w:hAnsi="Times New Roman"/>
      <w:i/>
      <w:iCs/>
      <w:color w:val="auto"/>
      <w:sz w:val="36"/>
      <w:szCs w:val="36"/>
      <w:lang w:val="sr-Latn-CS" w:eastAsia="sr-Latn-CS"/>
    </w:rPr>
  </w:style>
  <w:style w:type="paragraph" w:customStyle="1" w:styleId="hd3">
    <w:name w:val="hd3"/>
    <w:basedOn w:val="Normal"/>
    <w:rsid w:val="00D8738C"/>
    <w:pPr>
      <w:spacing w:before="100" w:beforeAutospacing="1" w:after="100" w:afterAutospacing="1"/>
      <w:jc w:val="left"/>
    </w:pPr>
    <w:rPr>
      <w:rFonts w:ascii="Times New Roman" w:hAnsi="Times New Roman"/>
      <w:i/>
      <w:iCs/>
      <w:color w:val="auto"/>
      <w:sz w:val="36"/>
      <w:szCs w:val="36"/>
      <w:lang w:val="sr-Latn-CS" w:eastAsia="sr-Latn-CS"/>
    </w:rPr>
  </w:style>
  <w:style w:type="paragraph" w:customStyle="1" w:styleId="hd4">
    <w:name w:val="hd4"/>
    <w:basedOn w:val="Normal"/>
    <w:rsid w:val="00D8738C"/>
    <w:pPr>
      <w:spacing w:before="100" w:beforeAutospacing="1" w:after="100" w:afterAutospacing="1"/>
      <w:jc w:val="left"/>
    </w:pPr>
    <w:rPr>
      <w:rFonts w:ascii="Times New Roman" w:hAnsi="Times New Roman"/>
      <w:color w:val="auto"/>
      <w:sz w:val="36"/>
      <w:szCs w:val="36"/>
      <w:lang w:val="sr-Latn-CS" w:eastAsia="sr-Latn-CS"/>
    </w:rPr>
  </w:style>
  <w:style w:type="paragraph" w:customStyle="1" w:styleId="hd5">
    <w:name w:val="hd5"/>
    <w:basedOn w:val="Normal"/>
    <w:rsid w:val="00D8738C"/>
    <w:pPr>
      <w:spacing w:before="100" w:beforeAutospacing="1" w:after="100" w:afterAutospacing="1"/>
      <w:jc w:val="left"/>
    </w:pPr>
    <w:rPr>
      <w:rFonts w:ascii="Times New Roman" w:hAnsi="Times New Roman"/>
      <w:color w:val="auto"/>
      <w:sz w:val="36"/>
      <w:szCs w:val="36"/>
      <w:lang w:val="sr-Latn-CS" w:eastAsia="sr-Latn-CS"/>
    </w:rPr>
  </w:style>
  <w:style w:type="paragraph" w:customStyle="1" w:styleId="hd6">
    <w:name w:val="hd6"/>
    <w:basedOn w:val="Normal"/>
    <w:rsid w:val="00D8738C"/>
    <w:pPr>
      <w:spacing w:before="0"/>
      <w:jc w:val="left"/>
    </w:pPr>
    <w:rPr>
      <w:rFonts w:ascii="Times New Roman" w:hAnsi="Times New Roman"/>
      <w:b/>
      <w:bCs/>
      <w:color w:val="auto"/>
      <w:sz w:val="36"/>
      <w:szCs w:val="36"/>
      <w:lang w:val="sr-Latn-CS" w:eastAsia="sr-Latn-CS"/>
    </w:rPr>
  </w:style>
  <w:style w:type="paragraph" w:customStyle="1" w:styleId="hd7">
    <w:name w:val="hd7"/>
    <w:basedOn w:val="Normal"/>
    <w:rsid w:val="00D8738C"/>
    <w:pPr>
      <w:spacing w:before="0"/>
      <w:jc w:val="left"/>
    </w:pPr>
    <w:rPr>
      <w:rFonts w:ascii="Times New Roman" w:hAnsi="Times New Roman"/>
      <w:b/>
      <w:bCs/>
      <w:i/>
      <w:iCs/>
      <w:color w:val="auto"/>
      <w:sz w:val="36"/>
      <w:szCs w:val="36"/>
      <w:lang w:val="sr-Latn-CS" w:eastAsia="sr-Latn-CS"/>
    </w:rPr>
  </w:style>
  <w:style w:type="paragraph" w:customStyle="1" w:styleId="hd8">
    <w:name w:val="hd8"/>
    <w:basedOn w:val="Normal"/>
    <w:rsid w:val="00D8738C"/>
    <w:pPr>
      <w:spacing w:before="0"/>
      <w:jc w:val="left"/>
    </w:pPr>
    <w:rPr>
      <w:rFonts w:ascii="Times New Roman" w:hAnsi="Times New Roman"/>
      <w:b/>
      <w:bCs/>
      <w:color w:val="auto"/>
      <w:sz w:val="34"/>
      <w:szCs w:val="34"/>
      <w:lang w:val="sr-Latn-CS" w:eastAsia="sr-Latn-CS"/>
    </w:rPr>
  </w:style>
  <w:style w:type="paragraph" w:customStyle="1" w:styleId="hd9">
    <w:name w:val="hd9"/>
    <w:basedOn w:val="Normal"/>
    <w:rsid w:val="00D8738C"/>
    <w:pPr>
      <w:spacing w:before="0"/>
      <w:jc w:val="left"/>
    </w:pPr>
    <w:rPr>
      <w:rFonts w:ascii="Times New Roman" w:hAnsi="Times New Roman"/>
      <w:b/>
      <w:bCs/>
      <w:i/>
      <w:iCs/>
      <w:color w:val="auto"/>
      <w:sz w:val="34"/>
      <w:szCs w:val="34"/>
      <w:lang w:val="sr-Latn-CS" w:eastAsia="sr-Latn-CS"/>
    </w:rPr>
  </w:style>
  <w:style w:type="paragraph" w:customStyle="1" w:styleId="hd11">
    <w:name w:val="hd11"/>
    <w:basedOn w:val="Normal"/>
    <w:rsid w:val="00D8738C"/>
    <w:pPr>
      <w:spacing w:before="0"/>
      <w:jc w:val="left"/>
    </w:pPr>
    <w:rPr>
      <w:rFonts w:ascii="Times New Roman" w:hAnsi="Times New Roman"/>
      <w:b/>
      <w:bCs/>
      <w:i/>
      <w:iCs/>
      <w:color w:val="auto"/>
      <w:sz w:val="31"/>
      <w:szCs w:val="31"/>
      <w:lang w:val="sr-Latn-CS" w:eastAsia="sr-Latn-CS"/>
    </w:rPr>
  </w:style>
  <w:style w:type="paragraph" w:customStyle="1" w:styleId="hd12">
    <w:name w:val="hd12"/>
    <w:basedOn w:val="Normal"/>
    <w:rsid w:val="00D8738C"/>
    <w:pPr>
      <w:spacing w:before="0"/>
      <w:jc w:val="left"/>
    </w:pPr>
    <w:rPr>
      <w:rFonts w:ascii="Times New Roman" w:hAnsi="Times New Roman"/>
      <w:b/>
      <w:bCs/>
      <w:color w:val="auto"/>
      <w:sz w:val="29"/>
      <w:szCs w:val="29"/>
      <w:lang w:val="sr-Latn-CS" w:eastAsia="sr-Latn-CS"/>
    </w:rPr>
  </w:style>
  <w:style w:type="paragraph" w:customStyle="1" w:styleId="hd13">
    <w:name w:val="hd13"/>
    <w:basedOn w:val="Normal"/>
    <w:rsid w:val="00D8738C"/>
    <w:pPr>
      <w:spacing w:before="0"/>
      <w:jc w:val="left"/>
    </w:pPr>
    <w:rPr>
      <w:rFonts w:ascii="Times New Roman" w:hAnsi="Times New Roman"/>
      <w:b/>
      <w:bCs/>
      <w:i/>
      <w:iCs/>
      <w:color w:val="auto"/>
      <w:sz w:val="29"/>
      <w:szCs w:val="29"/>
      <w:lang w:val="sr-Latn-CS" w:eastAsia="sr-Latn-CS"/>
    </w:rPr>
  </w:style>
  <w:style w:type="paragraph" w:customStyle="1" w:styleId="hd14">
    <w:name w:val="hd14"/>
    <w:basedOn w:val="Normal"/>
    <w:rsid w:val="00D8738C"/>
    <w:pPr>
      <w:spacing w:before="0"/>
      <w:jc w:val="left"/>
    </w:pPr>
    <w:rPr>
      <w:rFonts w:ascii="Times New Roman" w:hAnsi="Times New Roman"/>
      <w:b/>
      <w:bCs/>
      <w:color w:val="auto"/>
      <w:sz w:val="36"/>
      <w:szCs w:val="36"/>
      <w:lang w:val="sr-Latn-CS" w:eastAsia="sr-Latn-CS"/>
    </w:rPr>
  </w:style>
  <w:style w:type="paragraph" w:customStyle="1" w:styleId="hd15">
    <w:name w:val="hd15"/>
    <w:basedOn w:val="Normal"/>
    <w:rsid w:val="00D8738C"/>
    <w:pPr>
      <w:spacing w:before="0"/>
      <w:jc w:val="left"/>
    </w:pPr>
    <w:rPr>
      <w:rFonts w:ascii="Times New Roman" w:hAnsi="Times New Roman"/>
      <w:b/>
      <w:bCs/>
      <w:color w:val="auto"/>
      <w:sz w:val="36"/>
      <w:szCs w:val="36"/>
      <w:lang w:val="sr-Latn-CS" w:eastAsia="sr-Latn-CS"/>
    </w:rPr>
  </w:style>
  <w:style w:type="paragraph" w:customStyle="1" w:styleId="hd16">
    <w:name w:val="hd16"/>
    <w:basedOn w:val="Normal"/>
    <w:rsid w:val="00D8738C"/>
    <w:pPr>
      <w:spacing w:before="100" w:beforeAutospacing="1" w:after="100" w:afterAutospacing="1"/>
      <w:jc w:val="left"/>
    </w:pPr>
    <w:rPr>
      <w:rFonts w:ascii="Times New Roman" w:hAnsi="Times New Roman"/>
      <w:b/>
      <w:bCs/>
      <w:color w:val="auto"/>
      <w:sz w:val="36"/>
      <w:szCs w:val="36"/>
      <w:lang w:val="sr-Latn-CS" w:eastAsia="sr-Latn-CS"/>
    </w:rPr>
  </w:style>
  <w:style w:type="paragraph" w:customStyle="1" w:styleId="term1">
    <w:name w:val="term1"/>
    <w:basedOn w:val="Normal"/>
    <w:rsid w:val="00D8738C"/>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p5">
    <w:name w:val="p5"/>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rf1">
    <w:name w:val="rf1"/>
    <w:basedOn w:val="Normal"/>
    <w:rsid w:val="00D8738C"/>
    <w:pPr>
      <w:pBdr>
        <w:bottom w:val="dotted" w:sz="4" w:space="9" w:color="B9B9B9"/>
      </w:pBd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6">
    <w:name w:val="p6"/>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num1">
    <w:name w:val="hnum1"/>
    <w:basedOn w:val="Normal"/>
    <w:rsid w:val="00D8738C"/>
    <w:pPr>
      <w:spacing w:before="100" w:beforeAutospacing="1" w:after="100" w:afterAutospacing="1"/>
      <w:jc w:val="left"/>
    </w:pPr>
    <w:rPr>
      <w:rFonts w:ascii="Times New Roman" w:hAnsi="Times New Roman"/>
      <w:color w:val="auto"/>
      <w:sz w:val="44"/>
      <w:szCs w:val="44"/>
      <w:lang w:val="sr-Latn-CS" w:eastAsia="sr-Latn-CS"/>
    </w:rPr>
  </w:style>
  <w:style w:type="paragraph" w:customStyle="1" w:styleId="hd17">
    <w:name w:val="hd17"/>
    <w:basedOn w:val="Normal"/>
    <w:rsid w:val="00D8738C"/>
    <w:pPr>
      <w:spacing w:before="100" w:beforeAutospacing="1" w:after="100" w:afterAutospacing="1"/>
      <w:jc w:val="left"/>
    </w:pPr>
    <w:rPr>
      <w:rFonts w:ascii="Times New Roman" w:hAnsi="Times New Roman"/>
      <w:b/>
      <w:bCs/>
      <w:color w:val="auto"/>
      <w:sz w:val="44"/>
      <w:szCs w:val="44"/>
      <w:lang w:val="sr-Latn-CS" w:eastAsia="sr-Latn-CS"/>
    </w:rPr>
  </w:style>
  <w:style w:type="paragraph" w:customStyle="1" w:styleId="frtitle1">
    <w:name w:val="frtitle1"/>
    <w:basedOn w:val="Normal"/>
    <w:rsid w:val="00D8738C"/>
    <w:pPr>
      <w:spacing w:before="100" w:beforeAutospacing="1" w:after="100" w:afterAutospacing="1"/>
      <w:jc w:val="left"/>
    </w:pPr>
    <w:rPr>
      <w:rFonts w:ascii="Times New Roman" w:hAnsi="Times New Roman"/>
      <w:b/>
      <w:bCs/>
      <w:color w:val="auto"/>
      <w:sz w:val="44"/>
      <w:szCs w:val="44"/>
      <w:lang w:val="sr-Latn-CS" w:eastAsia="sr-Latn-CS"/>
    </w:rPr>
  </w:style>
  <w:style w:type="paragraph" w:customStyle="1" w:styleId="p7">
    <w:name w:val="p7"/>
    <w:basedOn w:val="Normal"/>
    <w:rsid w:val="00D8738C"/>
    <w:pPr>
      <w:spacing w:before="0"/>
      <w:jc w:val="left"/>
    </w:pPr>
    <w:rPr>
      <w:rFonts w:ascii="Times New Roman" w:hAnsi="Times New Roman"/>
      <w:color w:val="auto"/>
      <w:sz w:val="24"/>
      <w:szCs w:val="24"/>
      <w:lang w:val="sr-Latn-CS" w:eastAsia="sr-Latn-CS"/>
    </w:rPr>
  </w:style>
  <w:style w:type="paragraph" w:customStyle="1" w:styleId="hd18">
    <w:name w:val="hd18"/>
    <w:basedOn w:val="Normal"/>
    <w:rsid w:val="00D8738C"/>
    <w:pPr>
      <w:spacing w:before="100" w:beforeAutospacing="1" w:after="100" w:afterAutospacing="1"/>
      <w:jc w:val="left"/>
    </w:pPr>
    <w:rPr>
      <w:rFonts w:ascii="Times New Roman" w:hAnsi="Times New Roman"/>
      <w:b/>
      <w:bCs/>
      <w:color w:val="auto"/>
      <w:sz w:val="36"/>
      <w:szCs w:val="36"/>
      <w:lang w:val="sr-Latn-CS" w:eastAsia="sr-Latn-CS"/>
    </w:rPr>
  </w:style>
  <w:style w:type="paragraph" w:customStyle="1" w:styleId="entry21">
    <w:name w:val="entry2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31">
    <w:name w:val="entry3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41">
    <w:name w:val="entry4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51">
    <w:name w:val="entry5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61">
    <w:name w:val="entry6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d19">
    <w:name w:val="hd19"/>
    <w:basedOn w:val="Normal"/>
    <w:rsid w:val="00D8738C"/>
    <w:pPr>
      <w:spacing w:before="100" w:beforeAutospacing="1" w:after="100" w:afterAutospacing="1"/>
      <w:jc w:val="left"/>
    </w:pPr>
    <w:rPr>
      <w:rFonts w:ascii="Times New Roman" w:hAnsi="Times New Roman"/>
      <w:b/>
      <w:bCs/>
      <w:color w:val="auto"/>
      <w:sz w:val="36"/>
      <w:szCs w:val="36"/>
      <w:lang w:val="sr-Latn-CS" w:eastAsia="sr-Latn-CS"/>
    </w:rPr>
  </w:style>
  <w:style w:type="paragraph" w:customStyle="1" w:styleId="hd20">
    <w:name w:val="hd20"/>
    <w:basedOn w:val="Normal"/>
    <w:rsid w:val="00D8738C"/>
    <w:pPr>
      <w:pBdr>
        <w:top w:val="single" w:sz="4" w:space="6" w:color="B9B9B9"/>
      </w:pBdr>
      <w:spacing w:before="250"/>
      <w:jc w:val="left"/>
    </w:pPr>
    <w:rPr>
      <w:rFonts w:ascii="Times New Roman" w:hAnsi="Times New Roman"/>
      <w:b/>
      <w:bCs/>
      <w:color w:val="auto"/>
      <w:sz w:val="32"/>
      <w:szCs w:val="32"/>
      <w:lang w:val="sr-Latn-CS" w:eastAsia="sr-Latn-CS"/>
    </w:rPr>
  </w:style>
  <w:style w:type="paragraph" w:customStyle="1" w:styleId="da1">
    <w:name w:val="da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bn1">
    <w:name w:val="isbn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n1">
    <w:name w:val="isn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c1">
    <w:name w:val="lc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8">
    <w:name w:val="p8"/>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erm2">
    <w:name w:val="term2"/>
    <w:basedOn w:val="Normal"/>
    <w:rsid w:val="00D8738C"/>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def1">
    <w:name w:val="def1"/>
    <w:basedOn w:val="Normal"/>
    <w:rsid w:val="00D8738C"/>
    <w:pPr>
      <w:shd w:val="clear" w:color="auto" w:fill="F5F50B"/>
      <w:spacing w:before="100" w:beforeAutospacing="1" w:after="100" w:afterAutospacing="1"/>
      <w:jc w:val="left"/>
    </w:pPr>
    <w:rPr>
      <w:rFonts w:ascii="Verdana" w:hAnsi="Verdana"/>
      <w:color w:val="0A0905"/>
      <w:sz w:val="26"/>
      <w:szCs w:val="26"/>
      <w:lang w:val="sr-Latn-CS" w:eastAsia="sr-Latn-CS"/>
    </w:rPr>
  </w:style>
  <w:style w:type="paragraph" w:customStyle="1" w:styleId="hd21">
    <w:name w:val="hd21"/>
    <w:basedOn w:val="Normal"/>
    <w:rsid w:val="00D8738C"/>
    <w:pPr>
      <w:spacing w:before="0"/>
      <w:jc w:val="left"/>
    </w:pPr>
    <w:rPr>
      <w:rFonts w:ascii="Times New Roman" w:hAnsi="Times New Roman"/>
      <w:b/>
      <w:bCs/>
      <w:color w:val="0A0905"/>
      <w:sz w:val="26"/>
      <w:szCs w:val="26"/>
      <w:lang w:val="sr-Latn-CS" w:eastAsia="sr-Latn-CS"/>
    </w:rPr>
  </w:style>
  <w:style w:type="paragraph" w:customStyle="1" w:styleId="tlv11">
    <w:name w:val="tlv11"/>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9">
    <w:name w:val="p9"/>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character" w:customStyle="1" w:styleId="a">
    <w:name w:val="a"/>
    <w:basedOn w:val="DefaultParagraphFont"/>
    <w:rsid w:val="00D8738C"/>
  </w:style>
  <w:style w:type="paragraph" w:customStyle="1" w:styleId="hd">
    <w:name w:val="hd"/>
    <w:basedOn w:val="Normal"/>
    <w:rsid w:val="00D8738C"/>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d10">
    <w:name w:val="hd10"/>
    <w:basedOn w:val="Normal"/>
    <w:rsid w:val="00D8738C"/>
    <w:pPr>
      <w:spacing w:before="0"/>
      <w:jc w:val="left"/>
    </w:pPr>
    <w:rPr>
      <w:rFonts w:ascii="Times New Roman" w:hAnsi="Times New Roman"/>
      <w:b/>
      <w:bCs/>
      <w:color w:val="auto"/>
      <w:sz w:val="31"/>
      <w:szCs w:val="31"/>
      <w:lang w:val="sr-Latn-CS" w:eastAsia="sr-Latn-CS"/>
    </w:rPr>
  </w:style>
  <w:style w:type="character" w:customStyle="1" w:styleId="Style1CharChar">
    <w:name w:val="Style1 Char Char"/>
    <w:basedOn w:val="DefaultParagraphFont"/>
    <w:rsid w:val="00D8738C"/>
    <w:rPr>
      <w:rFonts w:ascii="Arial" w:eastAsia="Calibri" w:hAnsi="Arial"/>
      <w:color w:val="000000"/>
      <w:sz w:val="24"/>
      <w:szCs w:val="24"/>
      <w:lang w:val="sr-Latn-CS" w:eastAsia="en-US" w:bidi="ar-SA"/>
    </w:rPr>
  </w:style>
  <w:style w:type="character" w:customStyle="1" w:styleId="FooterChar">
    <w:name w:val="Footer Char"/>
    <w:basedOn w:val="DefaultParagraphFont"/>
    <w:link w:val="Footer"/>
    <w:rsid w:val="00492376"/>
    <w:rPr>
      <w:rFonts w:ascii="Arial" w:hAnsi="Arial"/>
      <w:color w:val="000000"/>
      <w:lang w:val="en-GB"/>
    </w:rPr>
  </w:style>
  <w:style w:type="character" w:customStyle="1" w:styleId="HeaderChar">
    <w:name w:val="Header Char"/>
    <w:basedOn w:val="DefaultParagraphFont"/>
    <w:link w:val="Header"/>
    <w:rsid w:val="00AF0E79"/>
    <w:rPr>
      <w:rFonts w:ascii="Arial" w:hAnsi="Arial"/>
      <w:color w:val="000000"/>
      <w:lang w:val="en-GB"/>
    </w:rPr>
  </w:style>
  <w:style w:type="character" w:customStyle="1" w:styleId="Heading1Char">
    <w:name w:val="Heading 1 Char"/>
    <w:basedOn w:val="DefaultParagraphFont"/>
    <w:link w:val="Heading1"/>
    <w:rsid w:val="003E3CC3"/>
    <w:rPr>
      <w:rFonts w:ascii="Arial" w:hAnsi="Arial" w:cs="Arial"/>
      <w:b/>
      <w:bCs/>
      <w:color w:val="000000"/>
      <w:kern w:val="32"/>
      <w:sz w:val="32"/>
      <w:szCs w:val="32"/>
      <w:shd w:val="clear" w:color="auto" w:fill="99CCFF"/>
      <w:lang w:val="en-GB"/>
    </w:rPr>
  </w:style>
  <w:style w:type="character" w:customStyle="1" w:styleId="Heading4Char">
    <w:name w:val="Heading 4 Char"/>
    <w:basedOn w:val="DefaultParagraphFont"/>
    <w:link w:val="Heading4"/>
    <w:rsid w:val="003E3CC3"/>
    <w:rPr>
      <w:rFonts w:ascii="Arial" w:hAnsi="Arial"/>
      <w:b/>
      <w:bCs/>
      <w:i/>
      <w:sz w:val="24"/>
      <w:szCs w:val="28"/>
    </w:rPr>
  </w:style>
  <w:style w:type="character" w:customStyle="1" w:styleId="Heading5Char">
    <w:name w:val="Heading 5 Char"/>
    <w:basedOn w:val="DefaultParagraphFont"/>
    <w:link w:val="Heading5"/>
    <w:rsid w:val="003E3CC3"/>
    <w:rPr>
      <w:rFonts w:ascii="Arial" w:hAnsi="Arial"/>
      <w:b/>
      <w:bCs/>
      <w:i/>
      <w:iCs/>
      <w:sz w:val="24"/>
      <w:szCs w:val="26"/>
    </w:rPr>
  </w:style>
  <w:style w:type="character" w:customStyle="1" w:styleId="TitleChar">
    <w:name w:val="Title Char"/>
    <w:basedOn w:val="DefaultParagraphFont"/>
    <w:link w:val="Title"/>
    <w:rsid w:val="003E3CC3"/>
    <w:rPr>
      <w:rFonts w:ascii="Arial" w:hAnsi="Arial"/>
      <w:color w:val="000000"/>
      <w:sz w:val="40"/>
      <w:lang w:val="sr-Latn-CS"/>
    </w:rPr>
  </w:style>
  <w:style w:type="character" w:customStyle="1" w:styleId="BodyTextChar">
    <w:name w:val="Body Text Char"/>
    <w:basedOn w:val="DefaultParagraphFont"/>
    <w:link w:val="BodyText"/>
    <w:rsid w:val="003E3CC3"/>
    <w:rPr>
      <w:rFonts w:cs="Arial"/>
      <w:sz w:val="24"/>
      <w:szCs w:val="24"/>
      <w:lang w:val="hr-HR"/>
    </w:rPr>
  </w:style>
  <w:style w:type="character" w:customStyle="1" w:styleId="BodyTextIndentChar">
    <w:name w:val="Body Text Indent Char"/>
    <w:basedOn w:val="DefaultParagraphFont"/>
    <w:link w:val="BodyTextIndent"/>
    <w:rsid w:val="003E3CC3"/>
    <w:rPr>
      <w:sz w:val="24"/>
      <w:szCs w:val="24"/>
      <w:lang w:val="hr-HR"/>
    </w:rPr>
  </w:style>
  <w:style w:type="character" w:customStyle="1" w:styleId="BodyTextIndent2Char">
    <w:name w:val="Body Text Indent 2 Char"/>
    <w:basedOn w:val="DefaultParagraphFont"/>
    <w:link w:val="BodyTextIndent2"/>
    <w:rsid w:val="003E3CC3"/>
    <w:rPr>
      <w:sz w:val="22"/>
      <w:szCs w:val="24"/>
      <w:lang w:val="hr-HR"/>
    </w:rPr>
  </w:style>
  <w:style w:type="paragraph" w:styleId="ListParagraph">
    <w:name w:val="List Paragraph"/>
    <w:basedOn w:val="Normal"/>
    <w:uiPriority w:val="34"/>
    <w:qFormat/>
    <w:rsid w:val="00BD1DFF"/>
    <w:pPr>
      <w:ind w:left="720"/>
      <w:jc w:val="left"/>
    </w:pPr>
    <w:rPr>
      <w:rFonts w:eastAsiaTheme="minorHAnsi" w:cstheme="minorBidi"/>
      <w:color w:val="auto"/>
      <w:szCs w:val="22"/>
      <w:lang w:val="en-US"/>
    </w:rPr>
  </w:style>
</w:styles>
</file>

<file path=word/webSettings.xml><?xml version="1.0" encoding="utf-8"?>
<w:webSettings xmlns:r="http://schemas.openxmlformats.org/officeDocument/2006/relationships" xmlns:w="http://schemas.openxmlformats.org/wordprocessingml/2006/main">
  <w:divs>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FIT predavanje</Template>
  <TotalTime>43</TotalTime>
  <Pages>8</Pages>
  <Words>3111</Words>
  <Characters>17735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20805</CharactersWithSpaces>
  <SharedDoc>false</SharedDoc>
  <HLinks>
    <vt:vector size="60" baseType="variant">
      <vt:variant>
        <vt:i4>1114174</vt:i4>
      </vt:variant>
      <vt:variant>
        <vt:i4>56</vt:i4>
      </vt:variant>
      <vt:variant>
        <vt:i4>0</vt:i4>
      </vt:variant>
      <vt:variant>
        <vt:i4>5</vt:i4>
      </vt:variant>
      <vt:variant>
        <vt:lpwstr/>
      </vt:variant>
      <vt:variant>
        <vt:lpwstr>_Toc337988241</vt:lpwstr>
      </vt:variant>
      <vt:variant>
        <vt:i4>1114174</vt:i4>
      </vt:variant>
      <vt:variant>
        <vt:i4>50</vt:i4>
      </vt:variant>
      <vt:variant>
        <vt:i4>0</vt:i4>
      </vt:variant>
      <vt:variant>
        <vt:i4>5</vt:i4>
      </vt:variant>
      <vt:variant>
        <vt:lpwstr/>
      </vt:variant>
      <vt:variant>
        <vt:lpwstr>_Toc337988240</vt:lpwstr>
      </vt:variant>
      <vt:variant>
        <vt:i4>1441854</vt:i4>
      </vt:variant>
      <vt:variant>
        <vt:i4>44</vt:i4>
      </vt:variant>
      <vt:variant>
        <vt:i4>0</vt:i4>
      </vt:variant>
      <vt:variant>
        <vt:i4>5</vt:i4>
      </vt:variant>
      <vt:variant>
        <vt:lpwstr/>
      </vt:variant>
      <vt:variant>
        <vt:lpwstr>_Toc337988239</vt:lpwstr>
      </vt:variant>
      <vt:variant>
        <vt:i4>1441854</vt:i4>
      </vt:variant>
      <vt:variant>
        <vt:i4>38</vt:i4>
      </vt:variant>
      <vt:variant>
        <vt:i4>0</vt:i4>
      </vt:variant>
      <vt:variant>
        <vt:i4>5</vt:i4>
      </vt:variant>
      <vt:variant>
        <vt:lpwstr/>
      </vt:variant>
      <vt:variant>
        <vt:lpwstr>_Toc337988238</vt:lpwstr>
      </vt:variant>
      <vt:variant>
        <vt:i4>1441854</vt:i4>
      </vt:variant>
      <vt:variant>
        <vt:i4>32</vt:i4>
      </vt:variant>
      <vt:variant>
        <vt:i4>0</vt:i4>
      </vt:variant>
      <vt:variant>
        <vt:i4>5</vt:i4>
      </vt:variant>
      <vt:variant>
        <vt:lpwstr/>
      </vt:variant>
      <vt:variant>
        <vt:lpwstr>_Toc337988237</vt:lpwstr>
      </vt:variant>
      <vt:variant>
        <vt:i4>1441854</vt:i4>
      </vt:variant>
      <vt:variant>
        <vt:i4>26</vt:i4>
      </vt:variant>
      <vt:variant>
        <vt:i4>0</vt:i4>
      </vt:variant>
      <vt:variant>
        <vt:i4>5</vt:i4>
      </vt:variant>
      <vt:variant>
        <vt:lpwstr/>
      </vt:variant>
      <vt:variant>
        <vt:lpwstr>_Toc337988236</vt:lpwstr>
      </vt:variant>
      <vt:variant>
        <vt:i4>1441854</vt:i4>
      </vt:variant>
      <vt:variant>
        <vt:i4>20</vt:i4>
      </vt:variant>
      <vt:variant>
        <vt:i4>0</vt:i4>
      </vt:variant>
      <vt:variant>
        <vt:i4>5</vt:i4>
      </vt:variant>
      <vt:variant>
        <vt:lpwstr/>
      </vt:variant>
      <vt:variant>
        <vt:lpwstr>_Toc337988235</vt:lpwstr>
      </vt:variant>
      <vt:variant>
        <vt:i4>1441854</vt:i4>
      </vt:variant>
      <vt:variant>
        <vt:i4>14</vt:i4>
      </vt:variant>
      <vt:variant>
        <vt:i4>0</vt:i4>
      </vt:variant>
      <vt:variant>
        <vt:i4>5</vt:i4>
      </vt:variant>
      <vt:variant>
        <vt:lpwstr/>
      </vt:variant>
      <vt:variant>
        <vt:lpwstr>_Toc337988234</vt:lpwstr>
      </vt:variant>
      <vt:variant>
        <vt:i4>1441854</vt:i4>
      </vt:variant>
      <vt:variant>
        <vt:i4>8</vt:i4>
      </vt:variant>
      <vt:variant>
        <vt:i4>0</vt:i4>
      </vt:variant>
      <vt:variant>
        <vt:i4>5</vt:i4>
      </vt:variant>
      <vt:variant>
        <vt:lpwstr/>
      </vt:variant>
      <vt:variant>
        <vt:lpwstr>_Toc337988233</vt:lpwstr>
      </vt:variant>
      <vt:variant>
        <vt:i4>1441854</vt:i4>
      </vt:variant>
      <vt:variant>
        <vt:i4>2</vt:i4>
      </vt:variant>
      <vt:variant>
        <vt:i4>0</vt:i4>
      </vt:variant>
      <vt:variant>
        <vt:i4>5</vt:i4>
      </vt:variant>
      <vt:variant>
        <vt:lpwstr/>
      </vt:variant>
      <vt:variant>
        <vt:lpwstr>_Toc337988232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User</cp:lastModifiedBy>
  <cp:revision>123</cp:revision>
  <cp:lastPrinted>1601-01-01T00:00:00Z</cp:lastPrinted>
  <dcterms:created xsi:type="dcterms:W3CDTF">2018-11-05T17:00:00Z</dcterms:created>
  <dcterms:modified xsi:type="dcterms:W3CDTF">2018-11-25T18:14:00Z</dcterms:modified>
</cp:coreProperties>
</file>